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FED91">
      <w:pPr>
        <w:rPr>
          <w:rFonts w:ascii="Times New Roman" w:hAnsi="Times New Roman" w:cs="Times New Roman"/>
        </w:rPr>
      </w:pPr>
      <w:bookmarkStart w:id="3" w:name="_GoBack"/>
      <w:bookmarkEnd w:id="3"/>
    </w:p>
    <w:p w14:paraId="61D46194">
      <w:pPr>
        <w:pBdr>
          <w:bottom w:val="single" w:color="auto" w:sz="6" w:space="1"/>
        </w:pBdr>
        <w:spacing w:line="480" w:lineRule="auto"/>
        <w:jc w:val="center"/>
        <w:rPr>
          <w:rFonts w:ascii="Times New Roman" w:hAnsi="Times New Roman" w:cs="Times New Roman"/>
          <w:b/>
          <w:bCs/>
          <w:sz w:val="28"/>
          <w:szCs w:val="28"/>
        </w:rPr>
      </w:pPr>
      <w:r>
        <w:rPr>
          <w:rFonts w:ascii="Times New Roman" w:hAnsi="Times New Roman" w:eastAsia="Times New Roman" w:cs="Times New Roman"/>
          <w:b/>
          <w:bCs/>
          <w:kern w:val="36"/>
          <w:sz w:val="24"/>
          <w:szCs w:val="24"/>
          <w:lang w:eastAsia="sq-AL"/>
        </w:rPr>
        <w:t>KOLEGJI AAB – PRISHTINË</w:t>
      </w:r>
      <w:r>
        <w:rPr>
          <w:rFonts w:ascii="Times New Roman" w:hAnsi="Times New Roman" w:cs="Times New Roman"/>
          <w:b/>
          <w:bCs/>
          <w:sz w:val="28"/>
          <w:szCs w:val="28"/>
        </w:rPr>
        <w:t xml:space="preserve"> </w:t>
      </w:r>
    </w:p>
    <w:p w14:paraId="0331702F">
      <w:pPr>
        <w:pBdr>
          <w:bottom w:val="single" w:color="auto" w:sz="6" w:space="1"/>
        </w:pBdr>
        <w:spacing w:line="48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FALULTETI JURIDIK – JURIDIK I PËRGJITHSHËM </w:t>
      </w:r>
    </w:p>
    <w:p w14:paraId="3159BE36">
      <w:pPr>
        <w:pBdr>
          <w:bottom w:val="single" w:color="auto" w:sz="6" w:space="1"/>
        </w:pBdr>
        <w:spacing w:line="480" w:lineRule="auto"/>
        <w:jc w:val="center"/>
        <w:rPr>
          <w:rFonts w:ascii="Times New Roman" w:hAnsi="Times New Roman" w:cs="Times New Roman"/>
          <w:b/>
          <w:bCs/>
          <w:sz w:val="28"/>
          <w:szCs w:val="28"/>
        </w:rPr>
      </w:pPr>
      <w:r>
        <w:rPr>
          <w:rFonts w:ascii="Times New Roman" w:hAnsi="Times New Roman" w:cs="Times New Roman"/>
          <w:b/>
          <w:bCs/>
          <w:sz w:val="28"/>
          <w:szCs w:val="28"/>
        </w:rPr>
        <w:t>LËNDA: „KRIMINOLOGJI“</w:t>
      </w:r>
    </w:p>
    <w:p w14:paraId="67DF901C">
      <w:pPr>
        <w:rPr>
          <w:rFonts w:ascii="Times New Roman" w:hAnsi="Times New Roman" w:cs="Times New Roman"/>
        </w:rPr>
      </w:pPr>
    </w:p>
    <w:p w14:paraId="3555C174">
      <w:pPr>
        <w:ind w:left="1440" w:firstLine="720"/>
        <w:rPr>
          <w:rFonts w:ascii="Times New Roman" w:hAnsi="Times New Roman" w:cs="Times New Roman"/>
          <w:lang w:val="de-DE"/>
        </w:rPr>
      </w:pPr>
      <w:r>
        <w:rPr>
          <w:rFonts w:ascii="Times New Roman" w:hAnsi="Times New Roman" w:cs="Times New Roman"/>
        </w:rPr>
        <w:t xml:space="preserve">           </w:t>
      </w:r>
      <w:r>
        <w:rPr>
          <w:rFonts w:ascii="Times New Roman" w:hAnsi="Times New Roman" w:cs="Times New Roman"/>
        </w:rPr>
        <w:drawing>
          <wp:inline distT="0" distB="0" distL="0" distR="0">
            <wp:extent cx="2543175" cy="2441575"/>
            <wp:effectExtent l="0" t="0" r="0" b="0"/>
            <wp:docPr id="200013534" name="Picture 3" descr="Kolegji A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13534" name="Picture 3" descr="Kolegji AAB"/>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569328" cy="2467274"/>
                    </a:xfrm>
                    <a:prstGeom prst="rect">
                      <a:avLst/>
                    </a:prstGeom>
                    <a:noFill/>
                    <a:ln>
                      <a:noFill/>
                    </a:ln>
                  </pic:spPr>
                </pic:pic>
              </a:graphicData>
            </a:graphic>
          </wp:inline>
        </w:drawing>
      </w:r>
    </w:p>
    <w:p w14:paraId="68317200">
      <w:pPr>
        <w:ind w:left="1440" w:firstLine="720"/>
        <w:rPr>
          <w:rFonts w:ascii="Times New Roman" w:hAnsi="Times New Roman" w:cs="Times New Roman"/>
          <w:lang w:val="de-DE"/>
        </w:rPr>
      </w:pPr>
    </w:p>
    <w:p w14:paraId="3677705B">
      <w:pPr>
        <w:ind w:left="1440" w:firstLine="720"/>
        <w:rPr>
          <w:rFonts w:ascii="Times New Roman" w:hAnsi="Times New Roman" w:cs="Times New Roman"/>
          <w:lang w:val="de-DE"/>
        </w:rPr>
      </w:pPr>
    </w:p>
    <w:p w14:paraId="558E0045">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 xml:space="preserve">TEMA: </w:t>
      </w:r>
    </w:p>
    <w:p w14:paraId="20D1CA01">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“DHUNA NE FAMILJE”</w:t>
      </w:r>
    </w:p>
    <w:p w14:paraId="5FEA508D">
      <w:pPr>
        <w:rPr>
          <w:rFonts w:ascii="Times New Roman" w:hAnsi="Times New Roman" w:cs="Times New Roman"/>
          <w:b/>
          <w:bCs/>
          <w:sz w:val="24"/>
          <w:szCs w:val="24"/>
          <w:lang w:val="sv-SE"/>
        </w:rPr>
      </w:pPr>
    </w:p>
    <w:p w14:paraId="7D8CD82A">
      <w:pPr>
        <w:rPr>
          <w:rFonts w:ascii="Times New Roman" w:hAnsi="Times New Roman" w:cs="Times New Roman"/>
          <w:b/>
          <w:bCs/>
          <w:sz w:val="24"/>
          <w:szCs w:val="24"/>
          <w:lang w:val="sv-SE"/>
        </w:rPr>
      </w:pPr>
    </w:p>
    <w:p w14:paraId="46C18D09">
      <w:pPr>
        <w:rPr>
          <w:rFonts w:ascii="Times New Roman" w:hAnsi="Times New Roman" w:cs="Times New Roman"/>
          <w:b/>
          <w:bCs/>
          <w:sz w:val="24"/>
          <w:szCs w:val="24"/>
          <w:lang w:val="sv-SE"/>
        </w:rPr>
      </w:pPr>
    </w:p>
    <w:p w14:paraId="42D0DEB5">
      <w:pPr>
        <w:rPr>
          <w:rFonts w:ascii="Times New Roman" w:hAnsi="Times New Roman" w:cs="Times New Roman"/>
          <w:b/>
          <w:bCs/>
          <w:sz w:val="24"/>
          <w:szCs w:val="24"/>
          <w:lang w:val="sv-SE"/>
        </w:rPr>
      </w:pPr>
      <w:r>
        <w:rPr>
          <w:rFonts w:ascii="Times New Roman" w:hAnsi="Times New Roman" w:cs="Times New Roman"/>
          <w:b/>
          <w:bCs/>
          <w:sz w:val="24"/>
          <w:szCs w:val="24"/>
          <w:lang w:val="sv-SE"/>
        </w:rPr>
        <w:t xml:space="preserve">Kanditatët: </w:t>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Mentori:</w:t>
      </w:r>
    </w:p>
    <w:p w14:paraId="37AD12E3">
      <w:pPr>
        <w:rPr>
          <w:rFonts w:ascii="Times New Roman" w:hAnsi="Times New Roman" w:cs="Times New Roman"/>
          <w:sz w:val="24"/>
          <w:szCs w:val="24"/>
          <w:lang w:val="sv-SE"/>
        </w:rPr>
      </w:pPr>
      <w:r>
        <w:rPr>
          <w:rFonts w:ascii="Times New Roman" w:hAnsi="Times New Roman" w:cs="Times New Roman"/>
          <w:sz w:val="24"/>
          <w:szCs w:val="24"/>
          <w:lang w:val="sv-SE"/>
        </w:rPr>
        <w:t>Arlinda Feka</w:t>
      </w:r>
      <w:r>
        <w:rPr>
          <w:rFonts w:ascii="Times New Roman" w:hAnsi="Times New Roman" w:cs="Times New Roman"/>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ab/>
      </w:r>
      <w:r>
        <w:rPr>
          <w:rFonts w:ascii="Times New Roman" w:hAnsi="Times New Roman" w:cs="Times New Roman"/>
          <w:b/>
          <w:bCs/>
          <w:sz w:val="24"/>
          <w:szCs w:val="24"/>
          <w:lang w:val="sv-SE"/>
        </w:rPr>
        <w:t xml:space="preserve">           </w:t>
      </w:r>
      <w:r>
        <w:rPr>
          <w:rFonts w:ascii="Times New Roman" w:hAnsi="Times New Roman" w:cs="Times New Roman"/>
          <w:b/>
          <w:bCs/>
          <w:sz w:val="24"/>
          <w:szCs w:val="24"/>
          <w:lang w:val="sv-SE"/>
        </w:rPr>
        <w:tab/>
      </w:r>
      <w:r>
        <w:rPr>
          <w:rFonts w:ascii="Times New Roman" w:hAnsi="Times New Roman" w:cs="Times New Roman"/>
          <w:sz w:val="24"/>
          <w:szCs w:val="24"/>
          <w:lang w:val="sv-SE"/>
        </w:rPr>
        <w:t>Prof. Ass. Dr. Mensut Ademi</w:t>
      </w:r>
    </w:p>
    <w:p w14:paraId="6B4B31E3">
      <w:pPr>
        <w:rPr>
          <w:rFonts w:ascii="Times New Roman" w:hAnsi="Times New Roman" w:cs="Times New Roman"/>
          <w:sz w:val="24"/>
          <w:szCs w:val="24"/>
          <w:lang w:val="sv-SE"/>
        </w:rPr>
      </w:pPr>
      <w:r>
        <w:rPr>
          <w:rFonts w:ascii="Times New Roman" w:hAnsi="Times New Roman" w:cs="Times New Roman"/>
          <w:sz w:val="24"/>
          <w:szCs w:val="24"/>
          <w:lang w:val="sv-SE"/>
        </w:rPr>
        <w:t>Albios Hasani</w:t>
      </w:r>
    </w:p>
    <w:p w14:paraId="6AE8B0D5">
      <w:pPr>
        <w:rPr>
          <w:rFonts w:ascii="Times New Roman" w:hAnsi="Times New Roman" w:cs="Times New Roman"/>
          <w:sz w:val="24"/>
          <w:szCs w:val="24"/>
          <w:lang w:val="sv-SE"/>
        </w:rPr>
      </w:pPr>
    </w:p>
    <w:p w14:paraId="540BA05E">
      <w:pPr>
        <w:jc w:val="center"/>
        <w:rPr>
          <w:rFonts w:ascii="Times New Roman" w:hAnsi="Times New Roman" w:cs="Times New Roman"/>
          <w:b/>
          <w:bCs/>
          <w:sz w:val="24"/>
          <w:szCs w:val="24"/>
          <w:lang w:val="sv-SE"/>
        </w:rPr>
      </w:pPr>
      <w:r>
        <w:rPr>
          <w:rFonts w:ascii="Times New Roman" w:hAnsi="Times New Roman" w:cs="Times New Roman"/>
          <w:b/>
          <w:bCs/>
          <w:sz w:val="24"/>
          <w:szCs w:val="24"/>
          <w:lang w:val="sv-SE"/>
        </w:rPr>
        <w:t>Prishtinë, 2025</w:t>
      </w:r>
    </w:p>
    <w:p w14:paraId="457C9606">
      <w:pPr>
        <w:jc w:val="center"/>
        <w:rPr>
          <w:rFonts w:ascii="Times New Roman" w:hAnsi="Times New Roman" w:cs="Times New Roman"/>
          <w:b/>
          <w:bCs/>
          <w:sz w:val="24"/>
          <w:szCs w:val="24"/>
          <w:lang w:val="sv-SE"/>
        </w:rPr>
      </w:pPr>
    </w:p>
    <w:p w14:paraId="04250E1C">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ABSTRAKT</w:t>
      </w:r>
    </w:p>
    <w:p w14:paraId="5201B259">
      <w:pPr>
        <w:jc w:val="center"/>
        <w:rPr>
          <w:rFonts w:ascii="Times New Roman" w:hAnsi="Times New Roman" w:cs="Times New Roman"/>
          <w:b/>
          <w:bCs/>
          <w:sz w:val="24"/>
          <w:szCs w:val="24"/>
          <w:lang w:val="sv-SE"/>
        </w:rPr>
      </w:pPr>
    </w:p>
    <w:p w14:paraId="46C38F2F">
      <w:pPr>
        <w:rPr>
          <w:rFonts w:ascii="Times New Roman" w:hAnsi="Times New Roman" w:cs="Times New Roman"/>
          <w:b/>
          <w:bCs/>
          <w:sz w:val="24"/>
          <w:szCs w:val="24"/>
          <w:lang w:val="sv-SE"/>
        </w:rPr>
      </w:pPr>
      <w:r>
        <w:rPr>
          <w:rFonts w:ascii="Times New Roman" w:hAnsi="Times New Roman" w:eastAsia="Times New Roman" w:cs="Times New Roman"/>
          <w:kern w:val="0"/>
          <w:sz w:val="24"/>
          <w:szCs w:val="24"/>
          <w:lang w:val="sv-SE" w:eastAsia="de-DE"/>
          <w14:ligatures w14:val="none"/>
        </w:rPr>
        <w:t>Dhuna në familje përbën një nga format më serioze dhe më të përhapura të kriminalitetit shoqëror, duke përfaqësuar një shkelje të rëndë të të drejtave themelore të njeriut dhe një sfidë të vazhdueshme për sistemet juridike dhe institucionale. Në Kosovë, ky fenomen mbetet i theksuar dhe ndikohet nga faktorë socialë, ekonomikë dhe kulturorë, ndërsa në nivel ndërkombëtar paraqitet si problem universal. Ky punim e trajton dhunën në familje nga perspektiva kriminologjike, duke analizuar shkaqet, format dhe pasojat e saj në Kosovë dhe në botë. Theksi vihet në ndikimin e normave patriarkale, pabarazisë gjinore, varësisë ekonomike dhe traumave sociale në përhapjen e këtij fenomeni. Punimi analizon gjithashtu rolin e viktimologjisë, sfidat institucionale në raportim dhe mbrojtjen e viktimave. Në përfundim, argumentohet se luftimi i dhunës në familje kërkon një qasje të koordinuar ndërmjet institucioneve shtetërore, shoqërisë civile dhe mekanizmave ndërkombëtarë, me fokus në parandalim, mbrojtje dhe rehabilitim.</w:t>
      </w:r>
    </w:p>
    <w:p w14:paraId="4B7C21C6">
      <w:pPr>
        <w:jc w:val="center"/>
        <w:rPr>
          <w:rFonts w:ascii="Times New Roman" w:hAnsi="Times New Roman" w:cs="Times New Roman"/>
          <w:b/>
          <w:bCs/>
          <w:sz w:val="24"/>
          <w:szCs w:val="24"/>
          <w:lang w:val="sv-SE"/>
        </w:rPr>
      </w:pPr>
    </w:p>
    <w:p w14:paraId="0F42A2D2">
      <w:pPr>
        <w:rPr>
          <w:rFonts w:ascii="Times New Roman" w:hAnsi="Times New Roman" w:cs="Times New Roman"/>
          <w:sz w:val="24"/>
          <w:szCs w:val="24"/>
          <w:lang w:val="sv-SE"/>
        </w:rPr>
      </w:pPr>
    </w:p>
    <w:p w14:paraId="31CC0FFE">
      <w:pPr>
        <w:rPr>
          <w:rFonts w:ascii="Times New Roman" w:hAnsi="Times New Roman" w:cs="Times New Roman"/>
          <w:sz w:val="24"/>
          <w:szCs w:val="24"/>
          <w:lang w:val="sv-SE"/>
        </w:rPr>
      </w:pPr>
    </w:p>
    <w:p w14:paraId="109C96B8">
      <w:pPr>
        <w:rPr>
          <w:rFonts w:ascii="Times New Roman" w:hAnsi="Times New Roman" w:cs="Times New Roman"/>
          <w:sz w:val="24"/>
          <w:szCs w:val="24"/>
          <w:lang w:val="sv-SE"/>
        </w:rPr>
      </w:pPr>
      <w:r>
        <w:rPr>
          <w:rFonts w:ascii="Times New Roman" w:hAnsi="Times New Roman" w:cs="Times New Roman"/>
          <w:sz w:val="24"/>
          <w:szCs w:val="24"/>
          <w:lang w:val="sv-SE"/>
        </w:rPr>
        <w:br w:type="page"/>
      </w:r>
    </w:p>
    <w:p w14:paraId="04AE59DE">
      <w:pPr>
        <w:rPr>
          <w:rFonts w:ascii="Times New Roman" w:hAnsi="Times New Roman" w:cs="Times New Roman"/>
          <w:sz w:val="24"/>
          <w:szCs w:val="24"/>
          <w:lang w:val="sv-SE"/>
        </w:rPr>
      </w:pPr>
    </w:p>
    <w:p w14:paraId="699740E0">
      <w:pPr>
        <w:jc w:val="center"/>
        <w:rPr>
          <w:rFonts w:ascii="Times New Roman" w:hAnsi="Times New Roman" w:cs="Times New Roman"/>
          <w:b/>
          <w:bCs/>
          <w:sz w:val="28"/>
          <w:szCs w:val="28"/>
          <w:lang w:val="de-DE"/>
        </w:rPr>
      </w:pPr>
      <w:r>
        <w:rPr>
          <w:rFonts w:ascii="Times New Roman" w:hAnsi="Times New Roman" w:cs="Times New Roman"/>
          <w:b/>
          <w:bCs/>
          <w:sz w:val="28"/>
          <w:szCs w:val="28"/>
          <w:lang w:val="de-DE"/>
        </w:rPr>
        <w:t>PËRMBAJTJA</w:t>
      </w:r>
    </w:p>
    <w:tbl>
      <w:tblPr>
        <w:tblStyle w:val="6"/>
        <w:tblpPr w:leftFromText="141" w:rightFromText="141" w:vertAnchor="text" w:horzAnchor="margin" w:tblpY="358"/>
        <w:tblW w:w="9869" w:type="dxa"/>
        <w:tblCellSpacing w:w="15" w:type="dxa"/>
        <w:tblInd w:w="0" w:type="dxa"/>
        <w:tblLayout w:type="autofit"/>
        <w:tblCellMar>
          <w:top w:w="15" w:type="dxa"/>
          <w:left w:w="15" w:type="dxa"/>
          <w:bottom w:w="15" w:type="dxa"/>
          <w:right w:w="15" w:type="dxa"/>
        </w:tblCellMar>
      </w:tblPr>
      <w:tblGrid>
        <w:gridCol w:w="595"/>
        <w:gridCol w:w="8477"/>
        <w:gridCol w:w="797"/>
      </w:tblGrid>
      <w:tr w14:paraId="72B946AA">
        <w:trPr>
          <w:trHeight w:val="446" w:hRule="atLeast"/>
          <w:tblHeader/>
          <w:tblCellSpacing w:w="15" w:type="dxa"/>
        </w:trPr>
        <w:tc>
          <w:tcPr>
            <w:tcW w:w="0" w:type="auto"/>
            <w:vAlign w:val="center"/>
          </w:tcPr>
          <w:p w14:paraId="70278228">
            <w:pPr>
              <w:rPr>
                <w:rFonts w:ascii="Times New Roman" w:hAnsi="Times New Roman" w:cs="Times New Roman"/>
                <w:b/>
                <w:bCs/>
              </w:rPr>
            </w:pPr>
            <w:r>
              <w:rPr>
                <w:rFonts w:ascii="Times New Roman" w:hAnsi="Times New Roman" w:cs="Times New Roman"/>
                <w:b/>
                <w:bCs/>
              </w:rPr>
              <w:t>Nr.</w:t>
            </w:r>
          </w:p>
        </w:tc>
        <w:tc>
          <w:tcPr>
            <w:tcW w:w="8447" w:type="dxa"/>
            <w:vAlign w:val="center"/>
          </w:tcPr>
          <w:p w14:paraId="36B93CA1">
            <w:pPr>
              <w:jc w:val="center"/>
              <w:rPr>
                <w:rFonts w:ascii="Times New Roman" w:hAnsi="Times New Roman" w:cs="Times New Roman"/>
                <w:b/>
                <w:bCs/>
              </w:rPr>
            </w:pPr>
            <w:r>
              <w:rPr>
                <w:rFonts w:ascii="Times New Roman" w:hAnsi="Times New Roman" w:cs="Times New Roman"/>
                <w:b/>
                <w:bCs/>
              </w:rPr>
              <w:t>Përmbajtja</w:t>
            </w:r>
          </w:p>
        </w:tc>
        <w:tc>
          <w:tcPr>
            <w:tcW w:w="752" w:type="dxa"/>
            <w:vAlign w:val="center"/>
          </w:tcPr>
          <w:p w14:paraId="7B57CF51">
            <w:pPr>
              <w:rPr>
                <w:rFonts w:ascii="Times New Roman" w:hAnsi="Times New Roman" w:cs="Times New Roman"/>
                <w:b/>
                <w:bCs/>
              </w:rPr>
            </w:pPr>
            <w:r>
              <w:rPr>
                <w:rFonts w:ascii="Times New Roman" w:hAnsi="Times New Roman" w:cs="Times New Roman"/>
                <w:b/>
                <w:bCs/>
              </w:rPr>
              <w:t>Faqe</w:t>
            </w:r>
          </w:p>
        </w:tc>
      </w:tr>
      <w:tr w14:paraId="092AA7D8">
        <w:trPr>
          <w:trHeight w:val="434" w:hRule="atLeast"/>
          <w:tblCellSpacing w:w="15" w:type="dxa"/>
        </w:trPr>
        <w:tc>
          <w:tcPr>
            <w:tcW w:w="0" w:type="auto"/>
            <w:vAlign w:val="center"/>
          </w:tcPr>
          <w:p w14:paraId="48D8EBDB">
            <w:pPr>
              <w:rPr>
                <w:rFonts w:ascii="Times New Roman" w:hAnsi="Times New Roman" w:cs="Times New Roman"/>
              </w:rPr>
            </w:pPr>
            <w:r>
              <w:rPr>
                <w:rFonts w:ascii="Times New Roman" w:hAnsi="Times New Roman" w:cs="Times New Roman"/>
              </w:rPr>
              <w:t>1</w:t>
            </w:r>
          </w:p>
        </w:tc>
        <w:tc>
          <w:tcPr>
            <w:tcW w:w="8447" w:type="dxa"/>
            <w:vAlign w:val="center"/>
          </w:tcPr>
          <w:p w14:paraId="44DD1364">
            <w:pPr>
              <w:rPr>
                <w:rFonts w:ascii="Times New Roman" w:hAnsi="Times New Roman" w:cs="Times New Roman"/>
              </w:rPr>
            </w:pPr>
            <w:r>
              <w:rPr>
                <w:rFonts w:ascii="Times New Roman" w:hAnsi="Times New Roman" w:cs="Times New Roman"/>
              </w:rPr>
              <w:t>Hyrje</w:t>
            </w:r>
          </w:p>
        </w:tc>
        <w:tc>
          <w:tcPr>
            <w:tcW w:w="752" w:type="dxa"/>
            <w:vAlign w:val="center"/>
          </w:tcPr>
          <w:p w14:paraId="703DAD34">
            <w:pPr>
              <w:rPr>
                <w:rFonts w:ascii="Times New Roman" w:hAnsi="Times New Roman" w:cs="Times New Roman"/>
              </w:rPr>
            </w:pPr>
            <w:r>
              <w:rPr>
                <w:rFonts w:ascii="Times New Roman" w:hAnsi="Times New Roman" w:cs="Times New Roman"/>
              </w:rPr>
              <w:t>4</w:t>
            </w:r>
          </w:p>
        </w:tc>
      </w:tr>
      <w:tr w14:paraId="61E04F04">
        <w:trPr>
          <w:trHeight w:val="446" w:hRule="atLeast"/>
          <w:tblCellSpacing w:w="15" w:type="dxa"/>
        </w:trPr>
        <w:tc>
          <w:tcPr>
            <w:tcW w:w="0" w:type="auto"/>
            <w:vAlign w:val="center"/>
          </w:tcPr>
          <w:p w14:paraId="4475B800">
            <w:pPr>
              <w:rPr>
                <w:rFonts w:ascii="Times New Roman" w:hAnsi="Times New Roman" w:cs="Times New Roman"/>
              </w:rPr>
            </w:pPr>
            <w:r>
              <w:rPr>
                <w:rFonts w:ascii="Times New Roman" w:hAnsi="Times New Roman" w:cs="Times New Roman"/>
              </w:rPr>
              <w:t>2</w:t>
            </w:r>
          </w:p>
        </w:tc>
        <w:tc>
          <w:tcPr>
            <w:tcW w:w="8447" w:type="dxa"/>
            <w:vAlign w:val="center"/>
          </w:tcPr>
          <w:p w14:paraId="7320AA1E">
            <w:pPr>
              <w:rPr>
                <w:rFonts w:ascii="Times New Roman" w:hAnsi="Times New Roman" w:cs="Times New Roman"/>
              </w:rPr>
            </w:pPr>
            <w:r>
              <w:rPr>
                <w:rFonts w:ascii="Times New Roman" w:hAnsi="Times New Roman" w:cs="Times New Roman"/>
              </w:rPr>
              <w:t>Metoda e Hulumtimit</w:t>
            </w:r>
          </w:p>
        </w:tc>
        <w:tc>
          <w:tcPr>
            <w:tcW w:w="752" w:type="dxa"/>
            <w:vAlign w:val="center"/>
          </w:tcPr>
          <w:p w14:paraId="472B4419">
            <w:pPr>
              <w:rPr>
                <w:rFonts w:ascii="Times New Roman" w:hAnsi="Times New Roman" w:cs="Times New Roman"/>
              </w:rPr>
            </w:pPr>
            <w:r>
              <w:rPr>
                <w:rFonts w:ascii="Times New Roman" w:hAnsi="Times New Roman" w:cs="Times New Roman"/>
              </w:rPr>
              <w:t>5</w:t>
            </w:r>
          </w:p>
        </w:tc>
      </w:tr>
      <w:tr w14:paraId="34807D93">
        <w:trPr>
          <w:trHeight w:val="434" w:hRule="atLeast"/>
          <w:tblCellSpacing w:w="15" w:type="dxa"/>
        </w:trPr>
        <w:tc>
          <w:tcPr>
            <w:tcW w:w="0" w:type="auto"/>
            <w:vAlign w:val="center"/>
          </w:tcPr>
          <w:p w14:paraId="754447C8">
            <w:pPr>
              <w:rPr>
                <w:rFonts w:ascii="Times New Roman" w:hAnsi="Times New Roman" w:cs="Times New Roman"/>
              </w:rPr>
            </w:pPr>
            <w:r>
              <w:rPr>
                <w:rFonts w:ascii="Times New Roman" w:hAnsi="Times New Roman" w:cs="Times New Roman"/>
              </w:rPr>
              <w:t>3</w:t>
            </w:r>
          </w:p>
        </w:tc>
        <w:tc>
          <w:tcPr>
            <w:tcW w:w="8447" w:type="dxa"/>
            <w:vAlign w:val="center"/>
          </w:tcPr>
          <w:p w14:paraId="5782C31C">
            <w:pPr>
              <w:rPr>
                <w:rFonts w:ascii="Times New Roman" w:hAnsi="Times New Roman" w:cs="Times New Roman"/>
                <w:lang w:val="sv-SE"/>
              </w:rPr>
            </w:pPr>
            <w:r>
              <w:rPr>
                <w:rFonts w:ascii="Times New Roman" w:hAnsi="Times New Roman" w:cs="Times New Roman"/>
                <w:lang w:val="sv-SE"/>
              </w:rPr>
              <w:t>Dhuna – Kuptimi dhe Ndarja e saj</w:t>
            </w:r>
          </w:p>
        </w:tc>
        <w:tc>
          <w:tcPr>
            <w:tcW w:w="752" w:type="dxa"/>
            <w:vAlign w:val="center"/>
          </w:tcPr>
          <w:p w14:paraId="4E83E1F6">
            <w:pPr>
              <w:rPr>
                <w:rFonts w:ascii="Times New Roman" w:hAnsi="Times New Roman" w:cs="Times New Roman"/>
                <w:lang w:val="sv-SE"/>
              </w:rPr>
            </w:pPr>
            <w:r>
              <w:rPr>
                <w:rFonts w:ascii="Times New Roman" w:hAnsi="Times New Roman" w:cs="Times New Roman"/>
                <w:lang w:val="sv-SE"/>
              </w:rPr>
              <w:t>6-7</w:t>
            </w:r>
          </w:p>
        </w:tc>
      </w:tr>
      <w:tr w14:paraId="019DAA2C">
        <w:trPr>
          <w:trHeight w:val="446" w:hRule="atLeast"/>
          <w:tblCellSpacing w:w="15" w:type="dxa"/>
        </w:trPr>
        <w:tc>
          <w:tcPr>
            <w:tcW w:w="0" w:type="auto"/>
            <w:vAlign w:val="center"/>
          </w:tcPr>
          <w:p w14:paraId="405E36C3">
            <w:pPr>
              <w:rPr>
                <w:rFonts w:ascii="Times New Roman" w:hAnsi="Times New Roman" w:cs="Times New Roman"/>
                <w:lang w:val="sv-SE"/>
              </w:rPr>
            </w:pPr>
            <w:r>
              <w:rPr>
                <w:rFonts w:ascii="Times New Roman" w:hAnsi="Times New Roman" w:cs="Times New Roman"/>
                <w:lang w:val="sv-SE"/>
              </w:rPr>
              <w:t>4</w:t>
            </w:r>
          </w:p>
        </w:tc>
        <w:tc>
          <w:tcPr>
            <w:tcW w:w="8447" w:type="dxa"/>
            <w:vAlign w:val="center"/>
          </w:tcPr>
          <w:p w14:paraId="79679FD1">
            <w:pPr>
              <w:rPr>
                <w:rFonts w:ascii="Times New Roman" w:hAnsi="Times New Roman" w:cs="Times New Roman"/>
                <w:lang w:val="sv-SE"/>
              </w:rPr>
            </w:pPr>
            <w:r>
              <w:rPr>
                <w:rFonts w:ascii="Times New Roman" w:hAnsi="Times New Roman" w:cs="Times New Roman"/>
                <w:lang w:val="sv-SE"/>
              </w:rPr>
              <w:t>Teoritë Kriminologjike që Shpjegojnë Dhunën në Kosovë</w:t>
            </w:r>
          </w:p>
        </w:tc>
        <w:tc>
          <w:tcPr>
            <w:tcW w:w="752" w:type="dxa"/>
            <w:vAlign w:val="center"/>
          </w:tcPr>
          <w:p w14:paraId="176B11FC">
            <w:pPr>
              <w:rPr>
                <w:rFonts w:ascii="Times New Roman" w:hAnsi="Times New Roman" w:cs="Times New Roman"/>
                <w:lang w:val="sv-SE"/>
              </w:rPr>
            </w:pPr>
            <w:r>
              <w:rPr>
                <w:rFonts w:ascii="Times New Roman" w:hAnsi="Times New Roman" w:cs="Times New Roman"/>
                <w:lang w:val="sv-SE"/>
              </w:rPr>
              <w:t>8</w:t>
            </w:r>
          </w:p>
        </w:tc>
      </w:tr>
      <w:tr w14:paraId="53858477">
        <w:trPr>
          <w:trHeight w:val="446" w:hRule="atLeast"/>
          <w:tblCellSpacing w:w="15" w:type="dxa"/>
        </w:trPr>
        <w:tc>
          <w:tcPr>
            <w:tcW w:w="0" w:type="auto"/>
            <w:vAlign w:val="center"/>
          </w:tcPr>
          <w:p w14:paraId="35674E17">
            <w:pPr>
              <w:rPr>
                <w:rFonts w:ascii="Times New Roman" w:hAnsi="Times New Roman" w:cs="Times New Roman"/>
                <w:lang w:val="sv-SE"/>
              </w:rPr>
            </w:pPr>
            <w:r>
              <w:rPr>
                <w:rFonts w:ascii="Times New Roman" w:hAnsi="Times New Roman" w:cs="Times New Roman"/>
                <w:lang w:val="sv-SE"/>
              </w:rPr>
              <w:t>5</w:t>
            </w:r>
          </w:p>
        </w:tc>
        <w:tc>
          <w:tcPr>
            <w:tcW w:w="8447" w:type="dxa"/>
            <w:vAlign w:val="center"/>
          </w:tcPr>
          <w:p w14:paraId="572BAB8F">
            <w:pPr>
              <w:rPr>
                <w:rFonts w:ascii="Times New Roman" w:hAnsi="Times New Roman" w:cs="Times New Roman"/>
                <w:lang w:val="sv-SE"/>
              </w:rPr>
            </w:pPr>
            <w:r>
              <w:rPr>
                <w:rFonts w:ascii="Times New Roman" w:hAnsi="Times New Roman" w:cs="Times New Roman"/>
                <w:lang w:val="sv-SE"/>
              </w:rPr>
              <w:t>Dinamika e Dhunës dhe Cikli i Viktimizimit</w:t>
            </w:r>
          </w:p>
        </w:tc>
        <w:tc>
          <w:tcPr>
            <w:tcW w:w="752" w:type="dxa"/>
            <w:vAlign w:val="center"/>
          </w:tcPr>
          <w:p w14:paraId="416179AC">
            <w:pPr>
              <w:rPr>
                <w:rFonts w:ascii="Times New Roman" w:hAnsi="Times New Roman" w:cs="Times New Roman"/>
                <w:lang w:val="sv-SE"/>
              </w:rPr>
            </w:pPr>
            <w:r>
              <w:rPr>
                <w:rFonts w:ascii="Times New Roman" w:hAnsi="Times New Roman" w:cs="Times New Roman"/>
                <w:lang w:val="sv-SE"/>
              </w:rPr>
              <w:t>9</w:t>
            </w:r>
          </w:p>
        </w:tc>
      </w:tr>
      <w:tr w14:paraId="1403D9F8">
        <w:trPr>
          <w:trHeight w:val="434" w:hRule="atLeast"/>
          <w:tblCellSpacing w:w="15" w:type="dxa"/>
        </w:trPr>
        <w:tc>
          <w:tcPr>
            <w:tcW w:w="0" w:type="auto"/>
            <w:vAlign w:val="center"/>
          </w:tcPr>
          <w:p w14:paraId="18960140">
            <w:pPr>
              <w:rPr>
                <w:rFonts w:ascii="Times New Roman" w:hAnsi="Times New Roman" w:cs="Times New Roman"/>
                <w:lang w:val="sv-SE"/>
              </w:rPr>
            </w:pPr>
            <w:r>
              <w:rPr>
                <w:rFonts w:ascii="Times New Roman" w:hAnsi="Times New Roman" w:cs="Times New Roman"/>
                <w:lang w:val="sv-SE"/>
              </w:rPr>
              <w:t>6</w:t>
            </w:r>
          </w:p>
        </w:tc>
        <w:tc>
          <w:tcPr>
            <w:tcW w:w="8447" w:type="dxa"/>
            <w:vAlign w:val="center"/>
          </w:tcPr>
          <w:p w14:paraId="4DBAAE9F">
            <w:pPr>
              <w:rPr>
                <w:rFonts w:ascii="Times New Roman" w:hAnsi="Times New Roman" w:cs="Times New Roman"/>
                <w:lang w:val="sv-SE"/>
              </w:rPr>
            </w:pPr>
            <w:r>
              <w:rPr>
                <w:rFonts w:ascii="Times New Roman" w:hAnsi="Times New Roman" w:cs="Times New Roman"/>
              </w:rPr>
              <w:t>Analiza e Shkakëve Specifikë në Kosovë</w:t>
            </w:r>
          </w:p>
        </w:tc>
        <w:tc>
          <w:tcPr>
            <w:tcW w:w="752" w:type="dxa"/>
            <w:vAlign w:val="center"/>
          </w:tcPr>
          <w:p w14:paraId="0DC9DBD9">
            <w:pPr>
              <w:rPr>
                <w:rFonts w:ascii="Times New Roman" w:hAnsi="Times New Roman" w:cs="Times New Roman"/>
                <w:lang w:val="sv-SE"/>
              </w:rPr>
            </w:pPr>
            <w:r>
              <w:rPr>
                <w:rFonts w:ascii="Times New Roman" w:hAnsi="Times New Roman" w:cs="Times New Roman"/>
                <w:lang w:val="sv-SE"/>
              </w:rPr>
              <w:t>10</w:t>
            </w:r>
          </w:p>
        </w:tc>
      </w:tr>
      <w:tr w14:paraId="687209D0">
        <w:trPr>
          <w:trHeight w:val="446" w:hRule="atLeast"/>
          <w:tblCellSpacing w:w="15" w:type="dxa"/>
        </w:trPr>
        <w:tc>
          <w:tcPr>
            <w:tcW w:w="0" w:type="auto"/>
            <w:vAlign w:val="center"/>
          </w:tcPr>
          <w:p w14:paraId="72CDB32B">
            <w:pPr>
              <w:rPr>
                <w:rFonts w:ascii="Times New Roman" w:hAnsi="Times New Roman" w:cs="Times New Roman"/>
                <w:lang w:val="sv-SE"/>
              </w:rPr>
            </w:pPr>
            <w:r>
              <w:rPr>
                <w:rFonts w:ascii="Times New Roman" w:hAnsi="Times New Roman" w:cs="Times New Roman"/>
                <w:lang w:val="sv-SE"/>
              </w:rPr>
              <w:t>7</w:t>
            </w:r>
          </w:p>
        </w:tc>
        <w:tc>
          <w:tcPr>
            <w:tcW w:w="8447" w:type="dxa"/>
            <w:vAlign w:val="center"/>
          </w:tcPr>
          <w:p w14:paraId="585F5BAD">
            <w:pPr>
              <w:rPr>
                <w:rFonts w:ascii="Times New Roman" w:hAnsi="Times New Roman" w:cs="Times New Roman"/>
                <w:lang w:val="sv-SE"/>
              </w:rPr>
            </w:pPr>
            <w:r>
              <w:rPr>
                <w:rFonts w:ascii="Times New Roman" w:hAnsi="Times New Roman" w:cs="Times New Roman"/>
              </w:rPr>
              <w:t>Statistikat dhe Viktimologjia</w:t>
            </w:r>
          </w:p>
        </w:tc>
        <w:tc>
          <w:tcPr>
            <w:tcW w:w="752" w:type="dxa"/>
            <w:vAlign w:val="center"/>
          </w:tcPr>
          <w:p w14:paraId="5D4CDAC8">
            <w:pPr>
              <w:rPr>
                <w:rFonts w:ascii="Times New Roman" w:hAnsi="Times New Roman" w:cs="Times New Roman"/>
                <w:lang w:val="sv-SE"/>
              </w:rPr>
            </w:pPr>
            <w:r>
              <w:rPr>
                <w:rFonts w:ascii="Times New Roman" w:hAnsi="Times New Roman" w:cs="Times New Roman"/>
                <w:lang w:val="sv-SE"/>
              </w:rPr>
              <w:t>11-12</w:t>
            </w:r>
          </w:p>
        </w:tc>
      </w:tr>
      <w:tr w14:paraId="5334CEA7">
        <w:trPr>
          <w:trHeight w:val="434" w:hRule="atLeast"/>
          <w:tblCellSpacing w:w="15" w:type="dxa"/>
        </w:trPr>
        <w:tc>
          <w:tcPr>
            <w:tcW w:w="0" w:type="auto"/>
            <w:vAlign w:val="center"/>
          </w:tcPr>
          <w:p w14:paraId="79EF64A0">
            <w:pPr>
              <w:rPr>
                <w:rFonts w:ascii="Times New Roman" w:hAnsi="Times New Roman" w:cs="Times New Roman"/>
                <w:lang w:val="sv-SE"/>
              </w:rPr>
            </w:pPr>
            <w:r>
              <w:rPr>
                <w:rFonts w:ascii="Times New Roman" w:hAnsi="Times New Roman" w:cs="Times New Roman"/>
                <w:lang w:val="sv-SE"/>
              </w:rPr>
              <w:t>8</w:t>
            </w:r>
          </w:p>
        </w:tc>
        <w:tc>
          <w:tcPr>
            <w:tcW w:w="8447" w:type="dxa"/>
            <w:vAlign w:val="center"/>
          </w:tcPr>
          <w:p w14:paraId="6FF435D3">
            <w:pPr>
              <w:rPr>
                <w:rFonts w:ascii="Times New Roman" w:hAnsi="Times New Roman" w:cs="Times New Roman"/>
                <w:lang w:val="sv-SE"/>
              </w:rPr>
            </w:pPr>
            <w:r>
              <w:rPr>
                <w:rFonts w:ascii="Times New Roman" w:hAnsi="Times New Roman" w:cs="Times New Roman"/>
                <w:lang w:val="sv-SE"/>
              </w:rPr>
              <w:t>Roli i Institucioneve dhe Sfidat e Parandalimit</w:t>
            </w:r>
          </w:p>
        </w:tc>
        <w:tc>
          <w:tcPr>
            <w:tcW w:w="752" w:type="dxa"/>
            <w:vAlign w:val="center"/>
          </w:tcPr>
          <w:p w14:paraId="06C1C87B">
            <w:pPr>
              <w:rPr>
                <w:rFonts w:ascii="Times New Roman" w:hAnsi="Times New Roman" w:cs="Times New Roman"/>
                <w:lang w:val="sv-SE"/>
              </w:rPr>
            </w:pPr>
            <w:r>
              <w:rPr>
                <w:rFonts w:ascii="Times New Roman" w:hAnsi="Times New Roman" w:cs="Times New Roman"/>
                <w:lang w:val="sv-SE"/>
              </w:rPr>
              <w:t>13</w:t>
            </w:r>
          </w:p>
        </w:tc>
      </w:tr>
      <w:tr w14:paraId="0B165350">
        <w:trPr>
          <w:trHeight w:val="446" w:hRule="atLeast"/>
          <w:tblCellSpacing w:w="15" w:type="dxa"/>
        </w:trPr>
        <w:tc>
          <w:tcPr>
            <w:tcW w:w="0" w:type="auto"/>
            <w:vAlign w:val="center"/>
          </w:tcPr>
          <w:p w14:paraId="2BE8D0CF">
            <w:pPr>
              <w:rPr>
                <w:rFonts w:ascii="Times New Roman" w:hAnsi="Times New Roman" w:cs="Times New Roman"/>
                <w:lang w:val="sv-SE"/>
              </w:rPr>
            </w:pPr>
            <w:r>
              <w:rPr>
                <w:rFonts w:ascii="Times New Roman" w:hAnsi="Times New Roman" w:cs="Times New Roman"/>
                <w:lang w:val="sv-SE"/>
              </w:rPr>
              <w:t>9</w:t>
            </w:r>
          </w:p>
        </w:tc>
        <w:tc>
          <w:tcPr>
            <w:tcW w:w="8447" w:type="dxa"/>
            <w:vAlign w:val="center"/>
          </w:tcPr>
          <w:p w14:paraId="1D9F5D82">
            <w:pPr>
              <w:rPr>
                <w:rFonts w:ascii="Times New Roman" w:hAnsi="Times New Roman" w:cs="Times New Roman"/>
                <w:lang w:val="sv-SE"/>
              </w:rPr>
            </w:pPr>
            <w:r>
              <w:rPr>
                <w:rFonts w:ascii="Times New Roman" w:hAnsi="Times New Roman" w:cs="Times New Roman"/>
              </w:rPr>
              <w:t>Sfidat Kryesore në Parandalim dhe Masa Proaktive</w:t>
            </w:r>
          </w:p>
        </w:tc>
        <w:tc>
          <w:tcPr>
            <w:tcW w:w="752" w:type="dxa"/>
            <w:vAlign w:val="center"/>
          </w:tcPr>
          <w:p w14:paraId="05D30292">
            <w:pPr>
              <w:rPr>
                <w:rFonts w:ascii="Times New Roman" w:hAnsi="Times New Roman" w:cs="Times New Roman"/>
                <w:lang w:val="sv-SE"/>
              </w:rPr>
            </w:pPr>
            <w:r>
              <w:rPr>
                <w:rFonts w:ascii="Times New Roman" w:hAnsi="Times New Roman" w:cs="Times New Roman"/>
                <w:lang w:val="sv-SE"/>
              </w:rPr>
              <w:t>14-15</w:t>
            </w:r>
          </w:p>
        </w:tc>
      </w:tr>
      <w:tr w14:paraId="41DA3BF3">
        <w:trPr>
          <w:trHeight w:val="434" w:hRule="atLeast"/>
          <w:tblCellSpacing w:w="15" w:type="dxa"/>
        </w:trPr>
        <w:tc>
          <w:tcPr>
            <w:tcW w:w="0" w:type="auto"/>
            <w:vAlign w:val="center"/>
          </w:tcPr>
          <w:p w14:paraId="7286E758">
            <w:pPr>
              <w:rPr>
                <w:rFonts w:ascii="Times New Roman" w:hAnsi="Times New Roman" w:cs="Times New Roman"/>
                <w:lang w:val="sv-SE"/>
              </w:rPr>
            </w:pPr>
            <w:r>
              <w:rPr>
                <w:rFonts w:ascii="Times New Roman" w:hAnsi="Times New Roman" w:cs="Times New Roman"/>
                <w:lang w:val="sv-SE"/>
              </w:rPr>
              <w:t>10</w:t>
            </w:r>
          </w:p>
        </w:tc>
        <w:tc>
          <w:tcPr>
            <w:tcW w:w="8447" w:type="dxa"/>
            <w:vAlign w:val="center"/>
          </w:tcPr>
          <w:p w14:paraId="3C661F84">
            <w:pPr>
              <w:rPr>
                <w:rFonts w:ascii="Times New Roman" w:hAnsi="Times New Roman" w:cs="Times New Roman"/>
                <w:lang w:val="sv-SE"/>
              </w:rPr>
            </w:pPr>
            <w:r>
              <w:rPr>
                <w:rFonts w:ascii="Times New Roman" w:hAnsi="Times New Roman" w:cs="Times New Roman"/>
              </w:rPr>
              <w:t>Përfundimi</w:t>
            </w:r>
          </w:p>
        </w:tc>
        <w:tc>
          <w:tcPr>
            <w:tcW w:w="752" w:type="dxa"/>
            <w:vAlign w:val="center"/>
          </w:tcPr>
          <w:p w14:paraId="34D3F13B">
            <w:pPr>
              <w:rPr>
                <w:rFonts w:ascii="Times New Roman" w:hAnsi="Times New Roman" w:cs="Times New Roman"/>
                <w:lang w:val="sv-SE"/>
              </w:rPr>
            </w:pPr>
            <w:r>
              <w:rPr>
                <w:rFonts w:ascii="Times New Roman" w:hAnsi="Times New Roman" w:cs="Times New Roman"/>
                <w:lang w:val="sv-SE"/>
              </w:rPr>
              <w:t>16</w:t>
            </w:r>
          </w:p>
        </w:tc>
      </w:tr>
      <w:tr w14:paraId="6DC24204">
        <w:trPr>
          <w:trHeight w:val="434" w:hRule="atLeast"/>
          <w:tblCellSpacing w:w="15" w:type="dxa"/>
        </w:trPr>
        <w:tc>
          <w:tcPr>
            <w:tcW w:w="0" w:type="auto"/>
            <w:vAlign w:val="center"/>
          </w:tcPr>
          <w:p w14:paraId="133EA93E">
            <w:pPr>
              <w:rPr>
                <w:rFonts w:ascii="Times New Roman" w:hAnsi="Times New Roman" w:cs="Times New Roman"/>
                <w:lang w:val="sv-SE"/>
              </w:rPr>
            </w:pPr>
            <w:r>
              <w:rPr>
                <w:rFonts w:ascii="Times New Roman" w:hAnsi="Times New Roman" w:cs="Times New Roman"/>
                <w:lang w:val="sv-SE"/>
              </w:rPr>
              <w:t>11</w:t>
            </w:r>
          </w:p>
        </w:tc>
        <w:tc>
          <w:tcPr>
            <w:tcW w:w="8447" w:type="dxa"/>
            <w:vAlign w:val="center"/>
          </w:tcPr>
          <w:p w14:paraId="65EF6DDD">
            <w:pPr>
              <w:rPr>
                <w:rFonts w:ascii="Times New Roman" w:hAnsi="Times New Roman" w:cs="Times New Roman"/>
              </w:rPr>
            </w:pPr>
            <w:r>
              <w:rPr>
                <w:rFonts w:ascii="Times New Roman" w:hAnsi="Times New Roman" w:cs="Times New Roman"/>
              </w:rPr>
              <w:t>Bibliografia / Literatura</w:t>
            </w:r>
          </w:p>
        </w:tc>
        <w:tc>
          <w:tcPr>
            <w:tcW w:w="752" w:type="dxa"/>
            <w:vAlign w:val="center"/>
          </w:tcPr>
          <w:p w14:paraId="2D5695EC">
            <w:pPr>
              <w:rPr>
                <w:rFonts w:ascii="Times New Roman" w:hAnsi="Times New Roman" w:cs="Times New Roman"/>
                <w:lang w:val="sv-SE"/>
              </w:rPr>
            </w:pPr>
            <w:r>
              <w:rPr>
                <w:rFonts w:ascii="Times New Roman" w:hAnsi="Times New Roman" w:cs="Times New Roman"/>
                <w:lang w:val="sv-SE"/>
              </w:rPr>
              <w:t>17</w:t>
            </w:r>
          </w:p>
        </w:tc>
      </w:tr>
    </w:tbl>
    <w:p w14:paraId="4BD6EDB1">
      <w:r>
        <w:br w:type="page"/>
      </w:r>
    </w:p>
    <w:p w14:paraId="44FD03FB">
      <w:pPr>
        <w:jc w:val="center"/>
        <w:rPr>
          <w:rFonts w:ascii="Times New Roman" w:hAnsi="Times New Roman" w:cs="Times New Roman"/>
          <w:b/>
          <w:bCs/>
          <w:sz w:val="28"/>
          <w:szCs w:val="28"/>
        </w:rPr>
      </w:pPr>
      <w:r>
        <w:rPr>
          <w:rFonts w:ascii="Times New Roman" w:hAnsi="Times New Roman" w:cs="Times New Roman"/>
          <w:b/>
          <w:bCs/>
          <w:sz w:val="28"/>
          <w:szCs w:val="28"/>
        </w:rPr>
        <w:t>METODA E HULUMTIMIT</w:t>
      </w:r>
    </w:p>
    <w:p w14:paraId="6EA42EFD">
      <w:pPr>
        <w:jc w:val="center"/>
        <w:rPr>
          <w:rFonts w:ascii="Times New Roman" w:hAnsi="Times New Roman" w:cs="Times New Roman"/>
          <w:b/>
          <w:bCs/>
          <w:sz w:val="28"/>
          <w:szCs w:val="28"/>
        </w:rPr>
      </w:pPr>
    </w:p>
    <w:p w14:paraId="398E7ED0">
      <w:pPr>
        <w:rPr>
          <w:rFonts w:ascii="Times New Roman" w:hAnsi="Times New Roman" w:cs="Times New Roman"/>
          <w:sz w:val="24"/>
          <w:szCs w:val="24"/>
        </w:rPr>
      </w:pPr>
      <w:r>
        <w:rPr>
          <w:rFonts w:ascii="Times New Roman" w:hAnsi="Times New Roman" w:cs="Times New Roman"/>
          <w:sz w:val="24"/>
          <w:szCs w:val="24"/>
        </w:rPr>
        <w:t>Ky punim seminarik është realizuar duke përdorur metodën desk research dhe analizën krahasuese:</w:t>
      </w:r>
    </w:p>
    <w:p w14:paraId="2AA3C81B">
      <w:pPr>
        <w:numPr>
          <w:ilvl w:val="0"/>
          <w:numId w:val="1"/>
        </w:numPr>
        <w:rPr>
          <w:rFonts w:ascii="Times New Roman" w:hAnsi="Times New Roman" w:cs="Times New Roman"/>
          <w:sz w:val="24"/>
          <w:szCs w:val="24"/>
        </w:rPr>
      </w:pPr>
      <w:r>
        <w:rPr>
          <w:rFonts w:ascii="Times New Roman" w:hAnsi="Times New Roman" w:cs="Times New Roman"/>
          <w:sz w:val="24"/>
          <w:szCs w:val="24"/>
        </w:rPr>
        <w:t>Metoda Desk Research: Studimi i literaturës ekzistuese, raporteve institucionale dhe statistikave mbi dhunën në familje në Kosovë (vitet 2023–2025).</w:t>
      </w:r>
    </w:p>
    <w:p w14:paraId="684085C7">
      <w:pPr>
        <w:numPr>
          <w:ilvl w:val="0"/>
          <w:numId w:val="1"/>
        </w:numPr>
        <w:rPr>
          <w:rFonts w:ascii="Times New Roman" w:hAnsi="Times New Roman" w:cs="Times New Roman"/>
          <w:sz w:val="24"/>
          <w:szCs w:val="24"/>
        </w:rPr>
      </w:pPr>
      <w:r>
        <w:rPr>
          <w:rFonts w:ascii="Times New Roman" w:hAnsi="Times New Roman" w:cs="Times New Roman"/>
          <w:sz w:val="24"/>
          <w:szCs w:val="24"/>
        </w:rPr>
        <w:t>Analiza Krahasuese: Krahasimi i të dhënave nga Kosova me legjislacionin e krahasueshëm në Shqipëri dhe praktikat ndërkombëtare (Konventa e Stambollit, standardet e OKB-së).</w:t>
      </w:r>
    </w:p>
    <w:p w14:paraId="0E59188F">
      <w:pPr>
        <w:numPr>
          <w:ilvl w:val="0"/>
          <w:numId w:val="1"/>
        </w:numPr>
        <w:rPr>
          <w:rFonts w:ascii="Times New Roman" w:hAnsi="Times New Roman" w:cs="Times New Roman"/>
          <w:sz w:val="24"/>
          <w:szCs w:val="24"/>
        </w:rPr>
      </w:pPr>
      <w:r>
        <w:rPr>
          <w:rFonts w:ascii="Times New Roman" w:hAnsi="Times New Roman" w:cs="Times New Roman"/>
          <w:sz w:val="24"/>
          <w:szCs w:val="24"/>
        </w:rPr>
        <w:t>Analiza Kriminologjike dhe Viktimologjike: Përdorimi i teorive të kriminologjisë (Teoria e Mësimit Social, Teoria e Kontrollit Social, Teoria e Strukturës Sociale) për të shpjeguar shkaqet dhe ciklet e dhunës.</w:t>
      </w:r>
    </w:p>
    <w:p w14:paraId="0B0FE3B2">
      <w:pPr>
        <w:numPr>
          <w:ilvl w:val="0"/>
          <w:numId w:val="1"/>
        </w:numPr>
        <w:rPr>
          <w:rFonts w:ascii="Times New Roman" w:hAnsi="Times New Roman" w:cs="Times New Roman"/>
          <w:sz w:val="24"/>
          <w:szCs w:val="24"/>
        </w:rPr>
      </w:pPr>
      <w:r>
        <w:rPr>
          <w:rFonts w:ascii="Times New Roman" w:hAnsi="Times New Roman" w:cs="Times New Roman"/>
          <w:sz w:val="24"/>
          <w:szCs w:val="24"/>
        </w:rPr>
        <w:t>Studimi i Statistikave: Përpunimi i të dhënave të raportuara nga institucionet e Kosovës për identifikimin e trendeve, tipologjisë së viktimave dhe llojeve të dhunës.</w:t>
      </w:r>
    </w:p>
    <w:p w14:paraId="4ADD418E">
      <w:pPr>
        <w:jc w:val="center"/>
        <w:rPr>
          <w:rFonts w:ascii="Times New Roman" w:hAnsi="Times New Roman" w:cs="Times New Roman"/>
          <w:b/>
          <w:bCs/>
          <w:sz w:val="28"/>
          <w:szCs w:val="28"/>
        </w:rPr>
      </w:pPr>
    </w:p>
    <w:p w14:paraId="6D0DDDAC">
      <w:pPr>
        <w:rPr>
          <w:rFonts w:ascii="Times New Roman" w:hAnsi="Times New Roman" w:cs="Times New Roman"/>
          <w:b/>
          <w:bCs/>
          <w:sz w:val="28"/>
          <w:szCs w:val="28"/>
        </w:rPr>
      </w:pPr>
      <w:r>
        <w:rPr>
          <w:rFonts w:ascii="Times New Roman" w:hAnsi="Times New Roman" w:cs="Times New Roman"/>
          <w:b/>
          <w:bCs/>
          <w:sz w:val="28"/>
          <w:szCs w:val="28"/>
        </w:rPr>
        <w:br w:type="page"/>
      </w:r>
    </w:p>
    <w:p w14:paraId="46589471">
      <w:pPr>
        <w:jc w:val="center"/>
        <w:rPr>
          <w:rFonts w:ascii="Times New Roman" w:hAnsi="Times New Roman" w:cs="Times New Roman"/>
          <w:b/>
          <w:bCs/>
          <w:sz w:val="28"/>
          <w:szCs w:val="28"/>
        </w:rPr>
      </w:pPr>
      <w:r>
        <w:rPr>
          <w:rFonts w:ascii="Times New Roman" w:hAnsi="Times New Roman" w:cs="Times New Roman"/>
          <w:b/>
          <w:bCs/>
          <w:sz w:val="28"/>
          <w:szCs w:val="28"/>
        </w:rPr>
        <w:t>HYRJE</w:t>
      </w:r>
    </w:p>
    <w:p w14:paraId="68B1DCB8">
      <w:pPr>
        <w:jc w:val="center"/>
        <w:rPr>
          <w:rFonts w:ascii="Times New Roman" w:hAnsi="Times New Roman" w:cs="Times New Roman"/>
          <w:b/>
          <w:bCs/>
          <w:sz w:val="28"/>
          <w:szCs w:val="28"/>
        </w:rPr>
      </w:pPr>
    </w:p>
    <w:p w14:paraId="710C0447">
      <w:pPr>
        <w:rPr>
          <w:rFonts w:ascii="Times New Roman" w:hAnsi="Times New Roman" w:cs="Times New Roman"/>
          <w:sz w:val="24"/>
          <w:szCs w:val="24"/>
        </w:rPr>
      </w:pPr>
      <w:r>
        <w:rPr>
          <w:rFonts w:ascii="Times New Roman" w:hAnsi="Times New Roman" w:cs="Times New Roman"/>
          <w:sz w:val="24"/>
          <w:szCs w:val="24"/>
        </w:rPr>
        <w:t>Dhuna në familje është një nga sfidat më serioze të shoqërisë moderne, duke ndikuar jo vetëm tek individët e përfshirë, por edhe tek komuniteti në tërësi. Në Kosovë, pasojat e dhunës brenda familjes kanë marrë një rëndësi të shtuar pas periudhës së pasluftës, duke u shndërruar nga një çështje që zakonisht mbahej e fshehur në familje, në një problem shoqëror dhe kriminal të dokumentuar. Fenomeni i dhunës në familje nuk përfshin vetëm dhunën fizike, por edhe atë psikologjike, ekonomike, seksuale dhe digjitale, duke pasqyruar një spektrë të gjerë të sjelljeve abuzive dhe të pasojave për viktimat.</w:t>
      </w:r>
    </w:p>
    <w:p w14:paraId="750CFC1E">
      <w:pPr>
        <w:rPr>
          <w:rFonts w:ascii="Times New Roman" w:hAnsi="Times New Roman" w:cs="Times New Roman"/>
          <w:sz w:val="24"/>
          <w:szCs w:val="24"/>
        </w:rPr>
      </w:pPr>
      <w:r>
        <w:rPr>
          <w:rFonts w:ascii="Times New Roman" w:hAnsi="Times New Roman" w:cs="Times New Roman"/>
          <w:sz w:val="24"/>
          <w:szCs w:val="24"/>
        </w:rPr>
        <w:t>Qëllimi i këtij punimi është të analizojë fenomenin e dhunës në familje në Kosovë nga perspektiva e kriminologjisë, duke shqyrtuar format e dhunës, teoritë që shpjegojnë shkaqet e saj, ciklin e viktimizimit, rolin e institucioneve, statistikat e fundit dhe sfidat në parandalim. Ky punim gjithashtu synon të evidentojë rëndësinë e viktimologjisë dhe të ofrojë rekomandime për masa proaktive që mund të zvogëlojnë incidencën e dhunës dhe të mbrojnë viktimat në mënyrë efektive.</w:t>
      </w:r>
    </w:p>
    <w:p w14:paraId="0E31137F">
      <w:pPr>
        <w:rPr>
          <w:rFonts w:ascii="Times New Roman" w:hAnsi="Times New Roman" w:cs="Times New Roman"/>
          <w:sz w:val="24"/>
          <w:szCs w:val="24"/>
        </w:rPr>
      </w:pPr>
      <w:r>
        <w:rPr>
          <w:rFonts w:ascii="Times New Roman" w:hAnsi="Times New Roman" w:cs="Times New Roman"/>
          <w:sz w:val="24"/>
          <w:szCs w:val="24"/>
        </w:rPr>
        <w:t>Metoda e hulumtimit bazohet kryesisht në analizë të literaturës shkencore, raportet e institucioneve shtetërore dhe organizatave joqeveritare, si dhe studime të publikuara mbi dhunën në familje në Kosovë dhe rajon. Përmes këtij kombinimi të burimeve, punimi ofron një pasqyrë të plotë dhe të detajuar mbi fenomenin, duke mundësuar një kuptim më të mirë të sfidave dhe mundësive për parandalimin e dhunës brenda familjes.</w:t>
      </w:r>
    </w:p>
    <w:p w14:paraId="21FB2BB6">
      <w:pPr>
        <w:rPr>
          <w:rFonts w:ascii="Times New Roman" w:hAnsi="Times New Roman" w:cs="Times New Roman"/>
        </w:rPr>
      </w:pPr>
    </w:p>
    <w:p w14:paraId="19757311">
      <w:pPr>
        <w:rPr>
          <w:rFonts w:ascii="Times New Roman" w:hAnsi="Times New Roman" w:cs="Times New Roman"/>
          <w:sz w:val="24"/>
          <w:szCs w:val="24"/>
        </w:rPr>
      </w:pPr>
    </w:p>
    <w:p w14:paraId="34E5924C">
      <w:pPr>
        <w:rPr>
          <w:rFonts w:ascii="Times New Roman" w:hAnsi="Times New Roman" w:cs="Times New Roman"/>
          <w:sz w:val="24"/>
          <w:szCs w:val="24"/>
        </w:rPr>
      </w:pPr>
    </w:p>
    <w:p w14:paraId="7B35644A">
      <w:pPr>
        <w:rPr>
          <w:rFonts w:ascii="Times New Roman" w:hAnsi="Times New Roman" w:cs="Times New Roman"/>
          <w:sz w:val="24"/>
          <w:szCs w:val="24"/>
        </w:rPr>
      </w:pPr>
    </w:p>
    <w:p w14:paraId="468D4442">
      <w:pPr>
        <w:rPr>
          <w:rFonts w:ascii="Times New Roman" w:hAnsi="Times New Roman" w:cs="Times New Roman"/>
          <w:sz w:val="24"/>
          <w:szCs w:val="24"/>
        </w:rPr>
      </w:pPr>
    </w:p>
    <w:p w14:paraId="74909404">
      <w:pPr>
        <w:rPr>
          <w:rFonts w:ascii="Times New Roman" w:hAnsi="Times New Roman" w:cs="Times New Roman"/>
          <w:sz w:val="24"/>
          <w:szCs w:val="24"/>
        </w:rPr>
      </w:pPr>
    </w:p>
    <w:p w14:paraId="1FA0C9B8">
      <w:pPr>
        <w:rPr>
          <w:rFonts w:ascii="Times New Roman" w:hAnsi="Times New Roman" w:cs="Times New Roman"/>
          <w:sz w:val="24"/>
          <w:szCs w:val="24"/>
        </w:rPr>
      </w:pPr>
    </w:p>
    <w:p w14:paraId="7522EA8D">
      <w:pPr>
        <w:rPr>
          <w:rFonts w:ascii="Times New Roman" w:hAnsi="Times New Roman" w:cs="Times New Roman"/>
          <w:sz w:val="24"/>
          <w:szCs w:val="24"/>
        </w:rPr>
      </w:pPr>
    </w:p>
    <w:p w14:paraId="5B4D2D16">
      <w:pPr>
        <w:rPr>
          <w:rFonts w:ascii="Times New Roman" w:hAnsi="Times New Roman" w:cs="Times New Roman"/>
          <w:sz w:val="24"/>
          <w:szCs w:val="24"/>
        </w:rPr>
      </w:pPr>
    </w:p>
    <w:p w14:paraId="14BDC782">
      <w:pPr>
        <w:rPr>
          <w:rFonts w:ascii="Times New Roman" w:hAnsi="Times New Roman" w:cs="Times New Roman"/>
          <w:sz w:val="24"/>
          <w:szCs w:val="24"/>
        </w:rPr>
      </w:pPr>
    </w:p>
    <w:p w14:paraId="1B36D8F4">
      <w:pPr>
        <w:rPr>
          <w:rFonts w:ascii="Times New Roman" w:hAnsi="Times New Roman" w:cs="Times New Roman"/>
          <w:sz w:val="24"/>
          <w:szCs w:val="24"/>
        </w:rPr>
      </w:pPr>
    </w:p>
    <w:p w14:paraId="500C7744">
      <w:pPr>
        <w:rPr>
          <w:rFonts w:ascii="Times New Roman" w:hAnsi="Times New Roman" w:cs="Times New Roman"/>
          <w:sz w:val="24"/>
          <w:szCs w:val="24"/>
        </w:rPr>
      </w:pPr>
    </w:p>
    <w:p w14:paraId="3890C647">
      <w:pPr>
        <w:rPr>
          <w:rFonts w:ascii="Times New Roman" w:hAnsi="Times New Roman" w:cs="Times New Roman"/>
          <w:sz w:val="24"/>
          <w:szCs w:val="24"/>
        </w:rPr>
      </w:pPr>
    </w:p>
    <w:p w14:paraId="2E35C78F">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DHUNA – KUPTIMI DHE NDARJA E SAJ</w:t>
      </w:r>
    </w:p>
    <w:p w14:paraId="5DCBF629">
      <w:pPr>
        <w:jc w:val="center"/>
        <w:rPr>
          <w:rFonts w:ascii="Times New Roman" w:hAnsi="Times New Roman" w:cs="Times New Roman"/>
          <w:b/>
          <w:bCs/>
          <w:sz w:val="28"/>
          <w:szCs w:val="28"/>
          <w:lang w:val="sv-SE"/>
        </w:rPr>
      </w:pPr>
    </w:p>
    <w:p w14:paraId="60357ABC">
      <w:pPr>
        <w:rPr>
          <w:rFonts w:ascii="Times New Roman" w:hAnsi="Times New Roman" w:cs="Times New Roman"/>
          <w:sz w:val="24"/>
          <w:szCs w:val="24"/>
          <w:lang w:val="sv-SE"/>
        </w:rPr>
      </w:pPr>
      <w:r>
        <w:rPr>
          <w:rFonts w:ascii="Times New Roman" w:hAnsi="Times New Roman" w:cs="Times New Roman"/>
          <w:sz w:val="24"/>
          <w:szCs w:val="24"/>
          <w:lang w:val="sv-SE"/>
        </w:rPr>
        <w:t>Dhuna në familje mbetet një nga sfidat më serioze për shoqërinë kosovare. Nga pikëpamja kriminologjike, ajo nuk është thjesht një çështje private, por një fenomen kriminal që cenon sigurinë publike. Në Kosovë, ky fenomen ka pësuar ndryshime në raportim pas luftës së fundit, duke u zhvendosur nga një “tabu familjare” drejt një vepre penale të ndëshkueshme.</w:t>
      </w:r>
      <w:r>
        <w:rPr>
          <w:rStyle w:val="11"/>
          <w:rFonts w:ascii="Times New Roman" w:hAnsi="Times New Roman" w:cs="Times New Roman"/>
          <w:sz w:val="24"/>
          <w:szCs w:val="24"/>
          <w:lang w:val="sv-SE"/>
        </w:rPr>
        <w:footnoteReference w:id="0"/>
      </w:r>
    </w:p>
    <w:p w14:paraId="7EB26A91">
      <w:pPr>
        <w:rPr>
          <w:rFonts w:ascii="Times New Roman" w:hAnsi="Times New Roman" w:cs="Times New Roman"/>
          <w:sz w:val="24"/>
          <w:szCs w:val="24"/>
          <w:lang w:val="sv-SE"/>
        </w:rPr>
      </w:pPr>
      <w:r>
        <w:rPr>
          <w:rFonts w:ascii="Times New Roman" w:hAnsi="Times New Roman" w:cs="Times New Roman"/>
          <w:sz w:val="24"/>
          <w:szCs w:val="24"/>
          <w:lang w:val="sv-SE"/>
        </w:rPr>
        <w:t>Nëse fokusohemi në lëndën e kriminologjisë, kjo shkencë luan një rol kyç në kuptimin, parandalimin dhe trajtimin e dhunës në familje. Për dallim nga drejtësia penale, e cila fokusohet kryesisht te ndëshkimi i fajtorit, kriminologjia studion shkaqet, fenomenologjinë dhe pasojat e këtij krimi në një nivel më të thellë social dhe psikologjik.</w:t>
      </w:r>
      <w:r>
        <w:rPr>
          <w:rStyle w:val="11"/>
          <w:rFonts w:ascii="Times New Roman" w:hAnsi="Times New Roman" w:cs="Times New Roman"/>
          <w:sz w:val="24"/>
          <w:szCs w:val="24"/>
          <w:lang w:val="sv-SE"/>
        </w:rPr>
        <w:footnoteReference w:id="1"/>
      </w:r>
    </w:p>
    <w:p w14:paraId="1DAF2893">
      <w:pPr>
        <w:rPr>
          <w:rFonts w:ascii="Times New Roman" w:hAnsi="Times New Roman" w:cs="Times New Roman"/>
          <w:sz w:val="24"/>
          <w:szCs w:val="24"/>
          <w:lang w:val="sv-SE"/>
        </w:rPr>
      </w:pPr>
      <w:r>
        <w:rPr>
          <w:rFonts w:ascii="Times New Roman" w:hAnsi="Times New Roman" w:cs="Times New Roman"/>
          <w:sz w:val="24"/>
          <w:szCs w:val="24"/>
          <w:lang w:val="sv-SE"/>
        </w:rPr>
        <w:t>Vepra penale e “Dhunës në familje” nuk është një akt i vetëm, por një kategori që përfshin disa lloje veprimesh të dënueshme. Sipas Kodeve Penale të Kosovës (neni 248) dhe Shqipërisë (neni 130/a), veprat penale brenda familjes klasifikohen në bazë të natyrës së dëmit që i shkaktohet viktimës.</w:t>
      </w:r>
      <w:r>
        <w:rPr>
          <w:rStyle w:val="11"/>
          <w:rFonts w:ascii="Times New Roman" w:hAnsi="Times New Roman" w:cs="Times New Roman"/>
          <w:sz w:val="24"/>
          <w:szCs w:val="24"/>
          <w:lang w:val="sv-SE"/>
        </w:rPr>
        <w:footnoteReference w:id="2"/>
      </w:r>
    </w:p>
    <w:p w14:paraId="63B45875">
      <w:pPr>
        <w:rPr>
          <w:rFonts w:ascii="Times New Roman" w:hAnsi="Times New Roman" w:cs="Times New Roman"/>
          <w:b/>
          <w:bCs/>
          <w:sz w:val="24"/>
          <w:szCs w:val="24"/>
          <w:lang w:val="sv-SE"/>
        </w:rPr>
      </w:pPr>
      <w:r>
        <w:rPr>
          <w:rFonts w:ascii="Times New Roman" w:hAnsi="Times New Roman" w:cs="Times New Roman"/>
          <w:b/>
          <w:bCs/>
          <w:sz w:val="24"/>
          <w:szCs w:val="24"/>
          <w:lang w:val="sv-SE"/>
        </w:rPr>
        <w:t>1. Dhuna Fizike</w:t>
      </w:r>
    </w:p>
    <w:p w14:paraId="18B25E2B">
      <w:pPr>
        <w:rPr>
          <w:rFonts w:ascii="Times New Roman" w:hAnsi="Times New Roman" w:cs="Times New Roman"/>
          <w:sz w:val="24"/>
          <w:szCs w:val="24"/>
          <w:lang w:val="sv-SE"/>
        </w:rPr>
      </w:pPr>
      <w:r>
        <w:rPr>
          <w:rFonts w:ascii="Times New Roman" w:hAnsi="Times New Roman" w:cs="Times New Roman"/>
          <w:sz w:val="24"/>
          <w:szCs w:val="24"/>
          <w:lang w:val="sv-SE"/>
        </w:rPr>
        <w:t>Kjo është forma më e raportuar dhe përfshin çdo veprim që cenon integritetin trupor të anëtarit të familjes.</w:t>
      </w:r>
      <w:r>
        <w:rPr>
          <w:rFonts w:ascii="Times New Roman" w:hAnsi="Times New Roman" w:cs="Times New Roman"/>
          <w:sz w:val="24"/>
          <w:szCs w:val="24"/>
          <w:lang w:val="sv-SE"/>
        </w:rPr>
        <w:br w:type="textWrapping"/>
      </w:r>
      <w:r>
        <w:rPr>
          <w:rFonts w:ascii="Times New Roman" w:hAnsi="Times New Roman" w:cs="Times New Roman"/>
          <w:b/>
          <w:bCs/>
          <w:sz w:val="24"/>
          <w:szCs w:val="24"/>
          <w:lang w:val="sv-SE"/>
        </w:rPr>
        <w:t>Veprat:</w:t>
      </w:r>
      <w:r>
        <w:rPr>
          <w:rFonts w:ascii="Times New Roman" w:hAnsi="Times New Roman" w:cs="Times New Roman"/>
          <w:sz w:val="24"/>
          <w:szCs w:val="24"/>
          <w:lang w:val="sv-SE"/>
        </w:rPr>
        <w:t xml:space="preserve"> rrahja, goditja, lëndimi trupor (i lehtë ose i rëndë), deri te vrasja brenda familjes.</w:t>
      </w:r>
    </w:p>
    <w:p w14:paraId="0DD34D0C">
      <w:pPr>
        <w:rPr>
          <w:rFonts w:ascii="Times New Roman" w:hAnsi="Times New Roman" w:cs="Times New Roman"/>
          <w:sz w:val="24"/>
          <w:szCs w:val="24"/>
          <w:lang w:val="sv-SE"/>
        </w:rPr>
      </w:pPr>
      <w:r>
        <w:rPr>
          <w:rFonts w:ascii="Times New Roman" w:hAnsi="Times New Roman" w:cs="Times New Roman"/>
          <w:sz w:val="24"/>
          <w:szCs w:val="24"/>
          <w:lang w:val="sv-SE"/>
        </w:rPr>
        <w:t>Raportet e viteve të fundit tregojnë një ashpërsim të masave ndëshkuese për sulmet fizike, ku arrestimi i autorit është i detyrueshëm në shumicën e rasteve flagrante.</w:t>
      </w:r>
      <w:r>
        <w:rPr>
          <w:rStyle w:val="11"/>
          <w:rFonts w:ascii="Times New Roman" w:hAnsi="Times New Roman" w:cs="Times New Roman"/>
          <w:sz w:val="24"/>
          <w:szCs w:val="24"/>
          <w:lang w:val="sv-SE"/>
        </w:rPr>
        <w:footnoteReference w:id="3"/>
      </w:r>
    </w:p>
    <w:p w14:paraId="7E3F8C63">
      <w:pPr>
        <w:rPr>
          <w:rFonts w:ascii="Times New Roman" w:hAnsi="Times New Roman" w:cs="Times New Roman"/>
          <w:b/>
          <w:bCs/>
          <w:sz w:val="24"/>
          <w:szCs w:val="24"/>
          <w:lang w:val="sv-SE"/>
        </w:rPr>
      </w:pPr>
      <w:r>
        <w:rPr>
          <w:rFonts w:ascii="Times New Roman" w:hAnsi="Times New Roman" w:cs="Times New Roman"/>
          <w:b/>
          <w:bCs/>
          <w:sz w:val="24"/>
          <w:szCs w:val="24"/>
          <w:lang w:val="sv-SE"/>
        </w:rPr>
        <w:t>2. Dhuna Psikologjike (Emocionale)</w:t>
      </w:r>
    </w:p>
    <w:p w14:paraId="66F9B9A8">
      <w:pPr>
        <w:rPr>
          <w:rFonts w:ascii="Times New Roman" w:hAnsi="Times New Roman" w:cs="Times New Roman"/>
          <w:sz w:val="24"/>
          <w:szCs w:val="24"/>
          <w:lang w:val="sv-SE"/>
        </w:rPr>
      </w:pPr>
      <w:r>
        <w:rPr>
          <w:rFonts w:ascii="Times New Roman" w:hAnsi="Times New Roman" w:cs="Times New Roman"/>
          <w:sz w:val="24"/>
          <w:szCs w:val="24"/>
          <w:lang w:val="sv-SE"/>
        </w:rPr>
        <w:t>Dhuna psikologjike kualifikohet si vepër penale kur veprimet shkaktojnë frikë, pasiguri ose vuajtje të rëndë shpirtërore.</w:t>
      </w:r>
      <w:r>
        <w:rPr>
          <w:rFonts w:ascii="Times New Roman" w:hAnsi="Times New Roman" w:cs="Times New Roman"/>
          <w:sz w:val="24"/>
          <w:szCs w:val="24"/>
          <w:lang w:val="sv-SE"/>
        </w:rPr>
        <w:br w:type="textWrapping"/>
      </w:r>
      <w:r>
        <w:rPr>
          <w:rFonts w:ascii="Times New Roman" w:hAnsi="Times New Roman" w:cs="Times New Roman"/>
          <w:b/>
          <w:bCs/>
          <w:sz w:val="24"/>
          <w:szCs w:val="24"/>
          <w:lang w:val="sv-SE"/>
        </w:rPr>
        <w:t>Veprat:</w:t>
      </w:r>
      <w:r>
        <w:rPr>
          <w:rFonts w:ascii="Times New Roman" w:hAnsi="Times New Roman" w:cs="Times New Roman"/>
          <w:sz w:val="24"/>
          <w:szCs w:val="24"/>
          <w:lang w:val="sv-SE"/>
        </w:rPr>
        <w:t xml:space="preserve"> kanosja, fyerja e vazhdueshme, izolimi, mbikëqyrja e tepërt dhe presioni për të vepruar kundër vullnetit.</w:t>
      </w:r>
    </w:p>
    <w:p w14:paraId="15546070">
      <w:pPr>
        <w:rPr>
          <w:rFonts w:ascii="Times New Roman" w:hAnsi="Times New Roman" w:cs="Times New Roman"/>
          <w:sz w:val="24"/>
          <w:szCs w:val="24"/>
          <w:lang w:val="sv-SE"/>
        </w:rPr>
      </w:pPr>
      <w:r>
        <w:rPr>
          <w:rFonts w:ascii="Times New Roman" w:hAnsi="Times New Roman" w:cs="Times New Roman"/>
          <w:sz w:val="24"/>
          <w:szCs w:val="24"/>
          <w:lang w:val="sv-SE"/>
        </w:rPr>
        <w:t>Sfida kryesore mbetet provueshmëria në gjykatë, megjithatë praktika gjyqësore po pranon gjithnjë e më shumë dëshmitë e ekspertëve psikologë si prova materiale.</w:t>
      </w:r>
      <w:r>
        <w:rPr>
          <w:rStyle w:val="11"/>
          <w:rFonts w:ascii="Times New Roman" w:hAnsi="Times New Roman" w:cs="Times New Roman"/>
          <w:sz w:val="24"/>
          <w:szCs w:val="24"/>
          <w:lang w:val="sv-SE"/>
        </w:rPr>
        <w:footnoteReference w:id="4"/>
      </w:r>
    </w:p>
    <w:p w14:paraId="0E8B921C">
      <w:pPr>
        <w:rPr>
          <w:rFonts w:ascii="Times New Roman" w:hAnsi="Times New Roman" w:cs="Times New Roman"/>
          <w:b/>
          <w:bCs/>
          <w:sz w:val="24"/>
          <w:szCs w:val="24"/>
          <w:lang w:val="sv-SE"/>
        </w:rPr>
      </w:pPr>
    </w:p>
    <w:p w14:paraId="5935E77D">
      <w:pPr>
        <w:rPr>
          <w:rFonts w:ascii="Times New Roman" w:hAnsi="Times New Roman" w:cs="Times New Roman"/>
          <w:b/>
          <w:bCs/>
          <w:sz w:val="24"/>
          <w:szCs w:val="24"/>
          <w:lang w:val="sv-SE"/>
        </w:rPr>
      </w:pPr>
    </w:p>
    <w:p w14:paraId="58650812">
      <w:pPr>
        <w:rPr>
          <w:rFonts w:ascii="Times New Roman" w:hAnsi="Times New Roman" w:cs="Times New Roman"/>
          <w:b/>
          <w:bCs/>
          <w:sz w:val="24"/>
          <w:szCs w:val="24"/>
          <w:lang w:val="sv-SE"/>
        </w:rPr>
      </w:pPr>
    </w:p>
    <w:p w14:paraId="61046C92">
      <w:pPr>
        <w:rPr>
          <w:rFonts w:ascii="Times New Roman" w:hAnsi="Times New Roman" w:cs="Times New Roman"/>
          <w:b/>
          <w:bCs/>
          <w:sz w:val="24"/>
          <w:szCs w:val="24"/>
          <w:lang w:val="sv-SE"/>
        </w:rPr>
      </w:pPr>
      <w:r>
        <w:rPr>
          <w:rFonts w:ascii="Times New Roman" w:hAnsi="Times New Roman" w:cs="Times New Roman"/>
          <w:b/>
          <w:bCs/>
          <w:sz w:val="24"/>
          <w:szCs w:val="24"/>
          <w:lang w:val="sv-SE"/>
        </w:rPr>
        <w:t>3. Dhuna Ekonomike</w:t>
      </w:r>
    </w:p>
    <w:p w14:paraId="7BEF25C7">
      <w:pPr>
        <w:rPr>
          <w:rFonts w:ascii="Times New Roman" w:hAnsi="Times New Roman" w:cs="Times New Roman"/>
          <w:sz w:val="24"/>
          <w:szCs w:val="24"/>
          <w:lang w:val="sv-SE"/>
        </w:rPr>
      </w:pPr>
      <w:r>
        <w:rPr>
          <w:rFonts w:ascii="Times New Roman" w:hAnsi="Times New Roman" w:cs="Times New Roman"/>
          <w:sz w:val="24"/>
          <w:szCs w:val="24"/>
          <w:lang w:val="sv-SE"/>
        </w:rPr>
        <w:t>Dhuna ekonomike ka fituar vëmendje të shtuar në raportet e viteve 2024–2025, duke u identifikuar si një mjet i fuqishëm kontrolli ndaj viktimës.</w:t>
      </w:r>
      <w:r>
        <w:rPr>
          <w:rFonts w:ascii="Times New Roman" w:hAnsi="Times New Roman" w:cs="Times New Roman"/>
          <w:sz w:val="24"/>
          <w:szCs w:val="24"/>
          <w:lang w:val="sv-SE"/>
        </w:rPr>
        <w:br w:type="textWrapping"/>
      </w:r>
      <w:r>
        <w:rPr>
          <w:rFonts w:ascii="Times New Roman" w:hAnsi="Times New Roman" w:cs="Times New Roman"/>
          <w:b/>
          <w:bCs/>
          <w:sz w:val="24"/>
          <w:szCs w:val="24"/>
          <w:lang w:val="sv-SE"/>
        </w:rPr>
        <w:t>Veprat:</w:t>
      </w:r>
      <w:r>
        <w:rPr>
          <w:rFonts w:ascii="Times New Roman" w:hAnsi="Times New Roman" w:cs="Times New Roman"/>
          <w:sz w:val="24"/>
          <w:szCs w:val="24"/>
          <w:lang w:val="sv-SE"/>
        </w:rPr>
        <w:t xml:space="preserve"> marrja e pagës ose e të ardhurave, ndalimi i punësimit, shkatërrimi i pronës së përbashkët ose privimi nga mjetet bazë për jetesë.</w:t>
      </w:r>
      <w:r>
        <w:rPr>
          <w:rStyle w:val="11"/>
          <w:rFonts w:ascii="Times New Roman" w:hAnsi="Times New Roman" w:cs="Times New Roman"/>
          <w:sz w:val="24"/>
          <w:szCs w:val="24"/>
          <w:lang w:val="sv-SE"/>
        </w:rPr>
        <w:footnoteReference w:id="5"/>
      </w:r>
    </w:p>
    <w:p w14:paraId="25DE81E8">
      <w:pPr>
        <w:rPr>
          <w:rFonts w:ascii="Times New Roman" w:hAnsi="Times New Roman" w:cs="Times New Roman"/>
          <w:b/>
          <w:bCs/>
          <w:sz w:val="24"/>
          <w:szCs w:val="24"/>
          <w:lang w:val="sv-SE"/>
        </w:rPr>
      </w:pPr>
      <w:r>
        <w:rPr>
          <w:rFonts w:ascii="Times New Roman" w:hAnsi="Times New Roman" w:cs="Times New Roman"/>
          <w:b/>
          <w:bCs/>
          <w:sz w:val="24"/>
          <w:szCs w:val="24"/>
          <w:lang w:val="sv-SE"/>
        </w:rPr>
        <w:t>4. Dhuna Seksuale brenda Familjes</w:t>
      </w:r>
    </w:p>
    <w:p w14:paraId="642A74D4">
      <w:pPr>
        <w:rPr>
          <w:rFonts w:ascii="Times New Roman" w:hAnsi="Times New Roman" w:cs="Times New Roman"/>
          <w:sz w:val="24"/>
          <w:szCs w:val="24"/>
          <w:lang w:val="sv-SE"/>
        </w:rPr>
      </w:pPr>
      <w:r>
        <w:rPr>
          <w:rFonts w:ascii="Times New Roman" w:hAnsi="Times New Roman" w:cs="Times New Roman"/>
          <w:sz w:val="24"/>
          <w:szCs w:val="24"/>
          <w:lang w:val="sv-SE"/>
        </w:rPr>
        <w:t>Dhuna seksuale përfshin çdo akt seksual të padëshiruar brenda raporteve bashkëshortore ose familjare.</w:t>
      </w:r>
      <w:r>
        <w:rPr>
          <w:rFonts w:ascii="Times New Roman" w:hAnsi="Times New Roman" w:cs="Times New Roman"/>
          <w:sz w:val="24"/>
          <w:szCs w:val="24"/>
          <w:lang w:val="sv-SE"/>
        </w:rPr>
        <w:br w:type="textWrapping"/>
      </w:r>
      <w:r>
        <w:rPr>
          <w:rFonts w:ascii="Times New Roman" w:hAnsi="Times New Roman" w:cs="Times New Roman"/>
          <w:b/>
          <w:bCs/>
          <w:sz w:val="24"/>
          <w:szCs w:val="24"/>
          <w:lang w:val="sv-SE"/>
        </w:rPr>
        <w:t>Veprat:</w:t>
      </w:r>
      <w:r>
        <w:rPr>
          <w:rFonts w:ascii="Times New Roman" w:hAnsi="Times New Roman" w:cs="Times New Roman"/>
          <w:sz w:val="24"/>
          <w:szCs w:val="24"/>
          <w:lang w:val="sv-SE"/>
        </w:rPr>
        <w:t xml:space="preserve"> ngacmimi seksual, sulmi seksual dhe përdhunimi martesor.</w:t>
      </w:r>
    </w:p>
    <w:p w14:paraId="4BD0C7CD">
      <w:pPr>
        <w:rPr>
          <w:rFonts w:ascii="Times New Roman" w:hAnsi="Times New Roman" w:cs="Times New Roman"/>
          <w:sz w:val="24"/>
          <w:szCs w:val="24"/>
          <w:lang w:val="sv-SE"/>
        </w:rPr>
      </w:pPr>
      <w:r>
        <w:rPr>
          <w:rFonts w:ascii="Times New Roman" w:hAnsi="Times New Roman" w:cs="Times New Roman"/>
          <w:sz w:val="24"/>
          <w:szCs w:val="24"/>
          <w:lang w:val="sv-SE"/>
        </w:rPr>
        <w:t>Legjislacioni i përditësuar ka forcuar ndjeshëm mbrojtjen e viktimave, duke hequr konceptin e vjetëruar të “detyrimeve martesore” si justifikim për dhunën seksuale.</w:t>
      </w:r>
      <w:r>
        <w:rPr>
          <w:rStyle w:val="11"/>
          <w:rFonts w:ascii="Times New Roman" w:hAnsi="Times New Roman" w:cs="Times New Roman"/>
          <w:sz w:val="24"/>
          <w:szCs w:val="24"/>
          <w:lang w:val="sv-SE"/>
        </w:rPr>
        <w:footnoteReference w:id="6"/>
      </w:r>
    </w:p>
    <w:p w14:paraId="238DD4B2">
      <w:pPr>
        <w:rPr>
          <w:rFonts w:ascii="Times New Roman" w:hAnsi="Times New Roman" w:cs="Times New Roman"/>
          <w:b/>
          <w:bCs/>
          <w:sz w:val="24"/>
          <w:szCs w:val="24"/>
          <w:lang w:val="sv-SE"/>
        </w:rPr>
      </w:pPr>
      <w:r>
        <w:rPr>
          <w:rFonts w:ascii="Times New Roman" w:hAnsi="Times New Roman" w:cs="Times New Roman"/>
          <w:b/>
          <w:bCs/>
          <w:sz w:val="24"/>
          <w:szCs w:val="24"/>
          <w:lang w:val="sv-SE"/>
        </w:rPr>
        <w:t>5. Dhuna Digjitale (Trendi 2024–2025)</w:t>
      </w:r>
    </w:p>
    <w:p w14:paraId="1325869C">
      <w:pPr>
        <w:rPr>
          <w:rFonts w:ascii="Times New Roman" w:hAnsi="Times New Roman" w:cs="Times New Roman"/>
          <w:sz w:val="24"/>
          <w:szCs w:val="24"/>
          <w:lang w:val="sv-SE"/>
        </w:rPr>
      </w:pPr>
      <w:r>
        <w:rPr>
          <w:rFonts w:ascii="Times New Roman" w:hAnsi="Times New Roman" w:cs="Times New Roman"/>
          <w:sz w:val="24"/>
          <w:szCs w:val="24"/>
          <w:lang w:val="sv-SE"/>
        </w:rPr>
        <w:t>Dhuna digjitale përmes teknologjisë së informacionit është shfaqur si një formë e re e dhunës, e cila shpesh kualifikohet nën veprat e ngacmimit ose vjedhjes së identitetit.</w:t>
      </w:r>
      <w:r>
        <w:rPr>
          <w:rStyle w:val="11"/>
          <w:rFonts w:ascii="Times New Roman" w:hAnsi="Times New Roman" w:cs="Times New Roman"/>
          <w:sz w:val="24"/>
          <w:szCs w:val="24"/>
          <w:lang w:val="sv-SE"/>
        </w:rPr>
        <w:footnoteReference w:id="7"/>
      </w:r>
      <w:r>
        <w:rPr>
          <w:rFonts w:ascii="Times New Roman" w:hAnsi="Times New Roman" w:cs="Times New Roman"/>
          <w:sz w:val="24"/>
          <w:szCs w:val="24"/>
          <w:lang w:val="sv-SE"/>
        </w:rPr>
        <w:t xml:space="preserve"> </w:t>
      </w:r>
      <w:r>
        <w:rPr>
          <w:rFonts w:ascii="Times New Roman" w:hAnsi="Times New Roman" w:cs="Times New Roman"/>
          <w:sz w:val="24"/>
          <w:szCs w:val="24"/>
          <w:lang w:val="sv-SE"/>
        </w:rPr>
        <w:br w:type="textWrapping"/>
      </w:r>
      <w:r>
        <w:rPr>
          <w:rFonts w:ascii="Times New Roman" w:hAnsi="Times New Roman" w:cs="Times New Roman"/>
          <w:b/>
          <w:bCs/>
          <w:sz w:val="24"/>
          <w:szCs w:val="24"/>
          <w:lang w:val="sv-SE"/>
        </w:rPr>
        <w:t>Veprat:</w:t>
      </w:r>
      <w:r>
        <w:rPr>
          <w:rFonts w:ascii="Times New Roman" w:hAnsi="Times New Roman" w:cs="Times New Roman"/>
          <w:sz w:val="24"/>
          <w:szCs w:val="24"/>
          <w:lang w:val="sv-SE"/>
        </w:rPr>
        <w:t xml:space="preserve"> shpërndarja e imazheve intime pa pëlqim, përdorimi i pajisjeve GPS për përcjellje dhe ngacmimi i vazhdueshëm në rrjete sociale.</w:t>
      </w:r>
    </w:p>
    <w:p w14:paraId="21A9CF43">
      <w:pPr>
        <w:rPr>
          <w:rFonts w:ascii="Times New Roman" w:hAnsi="Times New Roman" w:cs="Times New Roman"/>
          <w:sz w:val="24"/>
          <w:szCs w:val="24"/>
          <w:lang w:val="sv-SE"/>
        </w:rPr>
      </w:pPr>
      <w:r>
        <w:rPr>
          <w:rFonts w:ascii="Times New Roman" w:hAnsi="Times New Roman" w:cs="Times New Roman"/>
          <w:sz w:val="24"/>
          <w:szCs w:val="24"/>
          <w:lang w:val="sv-SE"/>
        </w:rPr>
        <w:t>Gjatë fundit të vitit 2024, në Kosovë janë shtuar kërkesat që dhuna digjitale të përfshihet si nen i veçantë në Kodin Penal.</w:t>
      </w:r>
      <w:r>
        <w:rPr>
          <w:rStyle w:val="11"/>
          <w:rFonts w:ascii="Times New Roman" w:hAnsi="Times New Roman" w:cs="Times New Roman"/>
          <w:sz w:val="24"/>
          <w:szCs w:val="24"/>
          <w:lang w:val="sv-SE"/>
        </w:rPr>
        <w:footnoteReference w:id="8"/>
      </w:r>
    </w:p>
    <w:p w14:paraId="52EB5A1F">
      <w:pPr>
        <w:rPr>
          <w:rFonts w:ascii="Times New Roman" w:hAnsi="Times New Roman" w:cs="Times New Roman"/>
          <w:sz w:val="24"/>
          <w:szCs w:val="24"/>
          <w:lang w:val="sv-SE"/>
        </w:rPr>
      </w:pPr>
    </w:p>
    <w:p w14:paraId="718F0416">
      <w:pPr>
        <w:rPr>
          <w:rFonts w:ascii="Times New Roman" w:hAnsi="Times New Roman" w:cs="Times New Roman"/>
          <w:sz w:val="24"/>
          <w:szCs w:val="24"/>
          <w:lang w:val="sv-SE"/>
        </w:rPr>
      </w:pPr>
      <w:r>
        <w:rPr>
          <w:rFonts w:ascii="Times New Roman" w:hAnsi="Times New Roman" w:cs="Times New Roman"/>
          <w:sz w:val="24"/>
          <w:szCs w:val="24"/>
          <w:lang w:val="sv-SE"/>
        </w:rPr>
        <w:br w:type="page"/>
      </w:r>
    </w:p>
    <w:p w14:paraId="4F3B29FC">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TEORITË KRIMINOLOGJIKE QË SHPJEGOJNË DHUNËN NË KOSOVË</w:t>
      </w:r>
    </w:p>
    <w:p w14:paraId="1AAB0FC1">
      <w:pPr>
        <w:jc w:val="center"/>
        <w:rPr>
          <w:rFonts w:ascii="Times New Roman" w:hAnsi="Times New Roman" w:cs="Times New Roman"/>
          <w:b/>
          <w:bCs/>
          <w:sz w:val="24"/>
          <w:szCs w:val="24"/>
          <w:lang w:val="sv-SE"/>
        </w:rPr>
      </w:pPr>
    </w:p>
    <w:p w14:paraId="2BC6962B">
      <w:pPr>
        <w:rPr>
          <w:rFonts w:ascii="Times New Roman" w:hAnsi="Times New Roman" w:cs="Times New Roman"/>
          <w:sz w:val="24"/>
          <w:szCs w:val="24"/>
          <w:lang w:val="sv-SE"/>
        </w:rPr>
      </w:pPr>
      <w:r>
        <w:rPr>
          <w:rFonts w:ascii="Times New Roman" w:hAnsi="Times New Roman" w:cs="Times New Roman"/>
          <w:sz w:val="24"/>
          <w:szCs w:val="24"/>
          <w:lang w:val="sv-SE"/>
        </w:rPr>
        <w:t>Për të kuptuar arsyet pse ndodh dhuna në familje, analiza kriminologjike mbështetet në disa teori themelore që shpjegojnë sjelljen devijuese në kontekstin social dhe institucional.</w:t>
      </w:r>
    </w:p>
    <w:p w14:paraId="7C7BBF7E">
      <w:pPr>
        <w:rPr>
          <w:rFonts w:ascii="Times New Roman" w:hAnsi="Times New Roman" w:cs="Times New Roman"/>
          <w:sz w:val="24"/>
          <w:szCs w:val="24"/>
          <w:lang w:val="sv-SE"/>
        </w:rPr>
      </w:pPr>
      <w:r>
        <w:rPr>
          <w:rFonts w:ascii="Times New Roman" w:hAnsi="Times New Roman" w:cs="Times New Roman"/>
          <w:b/>
          <w:bCs/>
          <w:sz w:val="24"/>
          <w:szCs w:val="24"/>
          <w:lang w:val="sv-SE"/>
        </w:rPr>
        <w:t>Teoria e Mësimit Social (Albert Bandura).</w:t>
      </w:r>
      <w:r>
        <w:rPr>
          <w:rFonts w:ascii="Times New Roman" w:hAnsi="Times New Roman" w:cs="Times New Roman"/>
          <w:sz w:val="24"/>
          <w:szCs w:val="24"/>
          <w:lang w:val="sv-SE"/>
        </w:rPr>
        <w:br w:type="textWrapping"/>
      </w:r>
      <w:r>
        <w:rPr>
          <w:rFonts w:ascii="Times New Roman" w:hAnsi="Times New Roman" w:cs="Times New Roman"/>
          <w:sz w:val="24"/>
          <w:szCs w:val="24"/>
          <w:lang w:val="sv-SE"/>
        </w:rPr>
        <w:t>Sipas kësaj teorie, sjellja kriminale mësohet përmes vëzhgimit dhe imitimit. Në shoqërinë kosovare, fëmijët që ekspozohen ndaj dhunës brenda familjes e perceptojnë atë si një mjet normal për zgjidhjen e konflikteve, duke krijuar të ashtuquajturin “cikël ndër-gjeneracional të dhunës”.</w:t>
      </w:r>
      <w:r>
        <w:rPr>
          <w:rStyle w:val="11"/>
          <w:rFonts w:ascii="Times New Roman" w:hAnsi="Times New Roman" w:cs="Times New Roman"/>
          <w:sz w:val="24"/>
          <w:szCs w:val="24"/>
          <w:lang w:val="sv-SE"/>
        </w:rPr>
        <w:footnoteReference w:id="9"/>
      </w:r>
    </w:p>
    <w:p w14:paraId="326E36BE">
      <w:pPr>
        <w:rPr>
          <w:rFonts w:ascii="Times New Roman" w:hAnsi="Times New Roman" w:cs="Times New Roman"/>
          <w:sz w:val="24"/>
          <w:szCs w:val="24"/>
          <w:lang w:val="sv-SE"/>
        </w:rPr>
      </w:pPr>
      <w:r>
        <w:rPr>
          <w:rFonts w:ascii="Times New Roman" w:hAnsi="Times New Roman" w:cs="Times New Roman"/>
          <w:b/>
          <w:bCs/>
          <w:sz w:val="24"/>
          <w:szCs w:val="24"/>
          <w:lang w:val="sv-SE"/>
        </w:rPr>
        <w:t>Teoria e Kontrollit Social.</w:t>
      </w:r>
      <w:r>
        <w:rPr>
          <w:rFonts w:ascii="Times New Roman" w:hAnsi="Times New Roman" w:cs="Times New Roman"/>
          <w:sz w:val="24"/>
          <w:szCs w:val="24"/>
          <w:lang w:val="sv-SE"/>
        </w:rPr>
        <w:br w:type="textWrapping"/>
      </w:r>
      <w:r>
        <w:rPr>
          <w:rFonts w:ascii="Times New Roman" w:hAnsi="Times New Roman" w:cs="Times New Roman"/>
          <w:sz w:val="24"/>
          <w:szCs w:val="24"/>
          <w:lang w:val="sv-SE"/>
        </w:rPr>
        <w:t>Kjo teori thekson rolin e institucioneve dhe lidhjeve shoqërore në frenimin e sjelljes kriminale. Kur institucionet shtetërore, si policia dhe gjykatat, perceptohen si joefikase ose paragjykuese, kostoja e kryerjes së dhunës për autorin ulet, gjë që e inkurajon përsëritjen e saj.</w:t>
      </w:r>
      <w:r>
        <w:rPr>
          <w:rStyle w:val="11"/>
          <w:rFonts w:ascii="Times New Roman" w:hAnsi="Times New Roman" w:cs="Times New Roman"/>
          <w:sz w:val="24"/>
          <w:szCs w:val="24"/>
          <w:lang w:val="sv-SE"/>
        </w:rPr>
        <w:footnoteReference w:id="10"/>
      </w:r>
    </w:p>
    <w:p w14:paraId="4936D524">
      <w:pPr>
        <w:rPr>
          <w:rFonts w:ascii="Times New Roman" w:hAnsi="Times New Roman" w:cs="Times New Roman"/>
          <w:sz w:val="24"/>
          <w:szCs w:val="24"/>
        </w:rPr>
      </w:pPr>
      <w:r>
        <w:rPr>
          <w:rFonts w:ascii="Times New Roman" w:hAnsi="Times New Roman" w:cs="Times New Roman"/>
          <w:b/>
          <w:bCs/>
          <w:sz w:val="24"/>
          <w:szCs w:val="24"/>
          <w:lang w:val="sv-SE"/>
        </w:rPr>
        <w:t>Teoria e Strukturës Sociale.</w:t>
      </w:r>
      <w:r>
        <w:rPr>
          <w:rFonts w:ascii="Times New Roman" w:hAnsi="Times New Roman" w:cs="Times New Roman"/>
          <w:sz w:val="24"/>
          <w:szCs w:val="24"/>
          <w:lang w:val="sv-SE"/>
        </w:rPr>
        <w:br w:type="textWrapping"/>
      </w:r>
      <w:r>
        <w:rPr>
          <w:rFonts w:ascii="Times New Roman" w:hAnsi="Times New Roman" w:cs="Times New Roman"/>
          <w:sz w:val="24"/>
          <w:szCs w:val="24"/>
          <w:lang w:val="sv-SE"/>
        </w:rPr>
        <w:t>Sipas kësaj qasjeje, kushtet socio-ekonomike si varfëria, papunësia dhe izolimi social krijojnë frustrim dhe tension, të cilat shpesh manifestohen përmes dhunës brenda familjes. Në Kosovë, ky fenomen është më i theksuar në zonat rurale dhe komunitetet me mungesë të mbështetjes institucionale.</w:t>
      </w:r>
      <w:r>
        <w:rPr>
          <w:rStyle w:val="11"/>
          <w:rFonts w:ascii="Times New Roman" w:hAnsi="Times New Roman" w:cs="Times New Roman"/>
          <w:sz w:val="24"/>
          <w:szCs w:val="24"/>
          <w:lang w:val="sv-SE"/>
        </w:rPr>
        <w:footnoteReference w:id="11"/>
      </w:r>
    </w:p>
    <w:p w14:paraId="4366D9D8">
      <w:pPr>
        <w:rPr>
          <w:rFonts w:ascii="Times New Roman" w:hAnsi="Times New Roman" w:cs="Times New Roman"/>
          <w:sz w:val="24"/>
          <w:szCs w:val="24"/>
        </w:rPr>
      </w:pPr>
      <w:r>
        <w:rPr>
          <w:rFonts w:ascii="Times New Roman" w:hAnsi="Times New Roman" w:cs="Times New Roman"/>
          <w:sz w:val="24"/>
          <w:szCs w:val="24"/>
        </w:rPr>
        <w:br w:type="page"/>
      </w:r>
    </w:p>
    <w:p w14:paraId="2BDA4A70">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DINAMIKA E DHUNËS DHE CIKLI I VIKTIMIZIMIT</w:t>
      </w:r>
    </w:p>
    <w:p w14:paraId="01031DF9">
      <w:pPr>
        <w:jc w:val="center"/>
        <w:rPr>
          <w:rFonts w:ascii="Times New Roman" w:hAnsi="Times New Roman" w:cs="Times New Roman"/>
          <w:b/>
          <w:bCs/>
          <w:sz w:val="28"/>
          <w:szCs w:val="28"/>
          <w:lang w:val="sv-SE"/>
        </w:rPr>
      </w:pPr>
    </w:p>
    <w:p w14:paraId="706664AE">
      <w:pPr>
        <w:rPr>
          <w:rFonts w:ascii="Times New Roman" w:hAnsi="Times New Roman" w:cs="Times New Roman"/>
          <w:sz w:val="24"/>
          <w:szCs w:val="24"/>
          <w:lang w:val="sv-SE"/>
        </w:rPr>
      </w:pPr>
      <w:r>
        <w:rPr>
          <w:rFonts w:ascii="Times New Roman" w:hAnsi="Times New Roman" w:cs="Times New Roman"/>
          <w:sz w:val="24"/>
          <w:szCs w:val="24"/>
          <w:lang w:val="sv-SE"/>
        </w:rPr>
        <w:t xml:space="preserve">Dhuna në familje nuk paraqitet si një akt i izoluar, por ndjek një model të përsëritur dhe progresiv që vjen duke u rënduar me kalimin e kohës. Ky model njihet në literaturën kriminologjike si </w:t>
      </w:r>
      <w:r>
        <w:rPr>
          <w:rFonts w:ascii="Times New Roman" w:hAnsi="Times New Roman" w:cs="Times New Roman"/>
          <w:b/>
          <w:bCs/>
          <w:sz w:val="24"/>
          <w:szCs w:val="24"/>
          <w:lang w:val="sv-SE"/>
        </w:rPr>
        <w:t>Cikli i Walker-it</w:t>
      </w:r>
      <w:r>
        <w:rPr>
          <w:rFonts w:ascii="Times New Roman" w:hAnsi="Times New Roman" w:cs="Times New Roman"/>
          <w:sz w:val="24"/>
          <w:szCs w:val="24"/>
          <w:lang w:val="sv-SE"/>
        </w:rPr>
        <w:t>.</w:t>
      </w:r>
      <w:r>
        <w:rPr>
          <w:rStyle w:val="11"/>
          <w:rFonts w:ascii="Times New Roman" w:hAnsi="Times New Roman" w:cs="Times New Roman"/>
          <w:sz w:val="24"/>
          <w:szCs w:val="24"/>
          <w:lang w:val="sv-SE"/>
        </w:rPr>
        <w:footnoteReference w:id="12"/>
      </w:r>
    </w:p>
    <w:p w14:paraId="233157AE">
      <w:pPr>
        <w:rPr>
          <w:rFonts w:ascii="Times New Roman" w:hAnsi="Times New Roman" w:cs="Times New Roman"/>
          <w:sz w:val="24"/>
          <w:szCs w:val="24"/>
          <w:lang w:val="sv-SE"/>
        </w:rPr>
      </w:pPr>
      <w:r>
        <w:rPr>
          <w:rFonts w:ascii="Times New Roman" w:hAnsi="Times New Roman" w:cs="Times New Roman"/>
          <w:b/>
          <w:bCs/>
          <w:sz w:val="24"/>
          <w:szCs w:val="24"/>
          <w:lang w:val="sv-SE"/>
        </w:rPr>
        <w:t>Faza e parë – Tensioni (Tension Building).</w:t>
      </w:r>
      <w:r>
        <w:rPr>
          <w:rFonts w:ascii="Times New Roman" w:hAnsi="Times New Roman" w:cs="Times New Roman"/>
          <w:sz w:val="24"/>
          <w:szCs w:val="24"/>
          <w:lang w:val="sv-SE"/>
        </w:rPr>
        <w:br w:type="textWrapping"/>
      </w:r>
      <w:r>
        <w:rPr>
          <w:rFonts w:ascii="Times New Roman" w:hAnsi="Times New Roman" w:cs="Times New Roman"/>
          <w:sz w:val="24"/>
          <w:szCs w:val="24"/>
          <w:lang w:val="sv-SE"/>
        </w:rPr>
        <w:t>Në këtë fazë, viktima fillon të ndiejë rrezikun dhe pasigurinë, ndërsa dhunuesi shfaq sjellje posesive, xhelozi dhe kontroll të shtuar.</w:t>
      </w:r>
      <w:r>
        <w:rPr>
          <w:rStyle w:val="11"/>
          <w:rFonts w:ascii="Times New Roman" w:hAnsi="Times New Roman" w:cs="Times New Roman"/>
          <w:sz w:val="24"/>
          <w:szCs w:val="24"/>
          <w:lang w:val="sv-SE"/>
        </w:rPr>
        <w:footnoteReference w:id="13"/>
      </w:r>
    </w:p>
    <w:p w14:paraId="36FD7A6A">
      <w:pPr>
        <w:rPr>
          <w:rFonts w:ascii="Times New Roman" w:hAnsi="Times New Roman" w:cs="Times New Roman"/>
          <w:sz w:val="24"/>
          <w:szCs w:val="24"/>
        </w:rPr>
      </w:pPr>
      <w:r>
        <w:rPr>
          <w:rFonts w:ascii="Times New Roman" w:hAnsi="Times New Roman" w:cs="Times New Roman"/>
          <w:b/>
          <w:bCs/>
          <w:sz w:val="24"/>
          <w:szCs w:val="24"/>
        </w:rPr>
        <w:t>Faza e dytë – Incidenti Akut (Acute Explosion).</w:t>
      </w:r>
      <w:r>
        <w:rPr>
          <w:rFonts w:ascii="Times New Roman" w:hAnsi="Times New Roman" w:cs="Times New Roman"/>
          <w:sz w:val="24"/>
          <w:szCs w:val="24"/>
        </w:rPr>
        <w:br w:type="textWrapping"/>
      </w:r>
      <w:r>
        <w:rPr>
          <w:rFonts w:ascii="Times New Roman" w:hAnsi="Times New Roman" w:cs="Times New Roman"/>
          <w:sz w:val="24"/>
          <w:szCs w:val="24"/>
        </w:rPr>
        <w:t>Kjo fazë karakterizohet nga shpërthimi i dhunës, i cili mund të përfshijë rrahje, thyerje të sendeve, kërcënime ose izolim të viktimës.</w:t>
      </w:r>
      <w:r>
        <w:rPr>
          <w:rStyle w:val="11"/>
          <w:rFonts w:ascii="Times New Roman" w:hAnsi="Times New Roman" w:cs="Times New Roman"/>
          <w:sz w:val="24"/>
          <w:szCs w:val="24"/>
        </w:rPr>
        <w:footnoteReference w:id="14"/>
      </w:r>
    </w:p>
    <w:p w14:paraId="354E03EF">
      <w:pPr>
        <w:rPr>
          <w:rFonts w:ascii="Times New Roman" w:hAnsi="Times New Roman" w:cs="Times New Roman"/>
          <w:sz w:val="24"/>
          <w:szCs w:val="24"/>
          <w:lang w:val="sv-SE"/>
        </w:rPr>
      </w:pPr>
      <w:r>
        <w:rPr>
          <w:rFonts w:ascii="Times New Roman" w:hAnsi="Times New Roman" w:cs="Times New Roman"/>
          <w:b/>
          <w:bCs/>
          <w:sz w:val="24"/>
          <w:szCs w:val="24"/>
          <w:lang w:val="sv-SE"/>
        </w:rPr>
        <w:t>Faza e tretë – Pendimi ose “Muaji i Mjaltit”.</w:t>
      </w:r>
      <w:r>
        <w:rPr>
          <w:rFonts w:ascii="Times New Roman" w:hAnsi="Times New Roman" w:cs="Times New Roman"/>
          <w:sz w:val="24"/>
          <w:szCs w:val="24"/>
          <w:lang w:val="sv-SE"/>
        </w:rPr>
        <w:br w:type="textWrapping"/>
      </w:r>
      <w:r>
        <w:rPr>
          <w:rFonts w:ascii="Times New Roman" w:hAnsi="Times New Roman" w:cs="Times New Roman"/>
          <w:sz w:val="24"/>
          <w:szCs w:val="24"/>
          <w:lang w:val="sv-SE"/>
        </w:rPr>
        <w:t>Pas aktit të dhunës, dhunuesi shpesh shfaq pendesë dhe përdor manipulim emocional për ta rikthyer viktimën. Në Kosovë, kjo fazë shpesh përforcohet nga presioni i familjarëve të gjerë, të cilët i kërkojnë viktimës të heshtë për “ruajtjen e familjes”.</w:t>
      </w:r>
      <w:r>
        <w:rPr>
          <w:rStyle w:val="11"/>
          <w:rFonts w:ascii="Times New Roman" w:hAnsi="Times New Roman" w:cs="Times New Roman"/>
          <w:sz w:val="24"/>
          <w:szCs w:val="24"/>
          <w:lang w:val="sv-SE"/>
        </w:rPr>
        <w:footnoteReference w:id="15"/>
      </w:r>
    </w:p>
    <w:p w14:paraId="46CC62A4">
      <w:pPr>
        <w:rPr>
          <w:rFonts w:ascii="Times New Roman" w:hAnsi="Times New Roman" w:cs="Times New Roman"/>
          <w:sz w:val="24"/>
          <w:szCs w:val="24"/>
          <w:lang w:val="sv-SE"/>
        </w:rPr>
      </w:pPr>
    </w:p>
    <w:p w14:paraId="63F71EB0">
      <w:pPr>
        <w:jc w:val="center"/>
        <w:rPr>
          <w:rFonts w:ascii="Times New Roman" w:hAnsi="Times New Roman" w:cs="Times New Roman"/>
          <w:b/>
          <w:bCs/>
          <w:sz w:val="28"/>
          <w:szCs w:val="28"/>
          <w:lang w:val="sv-SE"/>
        </w:rPr>
      </w:pPr>
    </w:p>
    <w:p w14:paraId="1B186673">
      <w:pPr>
        <w:jc w:val="center"/>
        <w:rPr>
          <w:rFonts w:ascii="Times New Roman" w:hAnsi="Times New Roman" w:cs="Times New Roman"/>
          <w:b/>
          <w:bCs/>
          <w:sz w:val="28"/>
          <w:szCs w:val="28"/>
          <w:lang w:val="sv-SE"/>
        </w:rPr>
      </w:pPr>
    </w:p>
    <w:p w14:paraId="4D1C934C">
      <w:pPr>
        <w:jc w:val="center"/>
        <w:rPr>
          <w:rFonts w:ascii="Times New Roman" w:hAnsi="Times New Roman" w:cs="Times New Roman"/>
          <w:b/>
          <w:bCs/>
          <w:sz w:val="28"/>
          <w:szCs w:val="28"/>
          <w:lang w:val="sv-SE"/>
        </w:rPr>
      </w:pPr>
    </w:p>
    <w:p w14:paraId="5E778FDC">
      <w:pPr>
        <w:jc w:val="center"/>
        <w:rPr>
          <w:rFonts w:ascii="Times New Roman" w:hAnsi="Times New Roman" w:cs="Times New Roman"/>
          <w:b/>
          <w:bCs/>
          <w:sz w:val="28"/>
          <w:szCs w:val="28"/>
          <w:lang w:val="sv-SE"/>
        </w:rPr>
      </w:pPr>
    </w:p>
    <w:p w14:paraId="6B74E56C">
      <w:pPr>
        <w:jc w:val="center"/>
        <w:rPr>
          <w:rFonts w:ascii="Times New Roman" w:hAnsi="Times New Roman" w:cs="Times New Roman"/>
          <w:b/>
          <w:bCs/>
          <w:sz w:val="28"/>
          <w:szCs w:val="28"/>
          <w:lang w:val="sv-SE"/>
        </w:rPr>
      </w:pPr>
    </w:p>
    <w:p w14:paraId="4BA532D2">
      <w:pPr>
        <w:jc w:val="center"/>
        <w:rPr>
          <w:rFonts w:ascii="Times New Roman" w:hAnsi="Times New Roman" w:cs="Times New Roman"/>
          <w:b/>
          <w:bCs/>
          <w:sz w:val="28"/>
          <w:szCs w:val="28"/>
          <w:lang w:val="sv-SE"/>
        </w:rPr>
      </w:pPr>
    </w:p>
    <w:p w14:paraId="37014F25">
      <w:pPr>
        <w:jc w:val="center"/>
        <w:rPr>
          <w:rFonts w:ascii="Times New Roman" w:hAnsi="Times New Roman" w:cs="Times New Roman"/>
          <w:b/>
          <w:bCs/>
          <w:sz w:val="28"/>
          <w:szCs w:val="28"/>
          <w:lang w:val="sv-SE"/>
        </w:rPr>
      </w:pPr>
    </w:p>
    <w:p w14:paraId="4194B10E">
      <w:pPr>
        <w:jc w:val="center"/>
        <w:rPr>
          <w:rFonts w:ascii="Times New Roman" w:hAnsi="Times New Roman" w:cs="Times New Roman"/>
          <w:b/>
          <w:bCs/>
          <w:sz w:val="28"/>
          <w:szCs w:val="28"/>
          <w:lang w:val="sv-SE"/>
        </w:rPr>
      </w:pPr>
    </w:p>
    <w:p w14:paraId="7C7D272E">
      <w:pPr>
        <w:jc w:val="center"/>
        <w:rPr>
          <w:rFonts w:ascii="Times New Roman" w:hAnsi="Times New Roman" w:cs="Times New Roman"/>
          <w:b/>
          <w:bCs/>
          <w:sz w:val="28"/>
          <w:szCs w:val="28"/>
          <w:lang w:val="sv-SE"/>
        </w:rPr>
      </w:pPr>
    </w:p>
    <w:p w14:paraId="1EBE4D45">
      <w:pPr>
        <w:jc w:val="center"/>
        <w:rPr>
          <w:rFonts w:ascii="Times New Roman" w:hAnsi="Times New Roman" w:cs="Times New Roman"/>
          <w:b/>
          <w:bCs/>
          <w:sz w:val="28"/>
          <w:szCs w:val="28"/>
          <w:lang w:val="sv-SE"/>
        </w:rPr>
      </w:pPr>
    </w:p>
    <w:p w14:paraId="746D8F96">
      <w:pPr>
        <w:jc w:val="center"/>
        <w:rPr>
          <w:rFonts w:ascii="Times New Roman" w:hAnsi="Times New Roman" w:cs="Times New Roman"/>
          <w:b/>
          <w:bCs/>
          <w:sz w:val="28"/>
          <w:szCs w:val="28"/>
          <w:lang w:val="sv-SE"/>
        </w:rPr>
      </w:pPr>
    </w:p>
    <w:p w14:paraId="61E106F3">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ANALIZA E SHKAQEVE SPECIFIKE NË RAJONIN E KOSOVËS</w:t>
      </w:r>
    </w:p>
    <w:p w14:paraId="2443B784">
      <w:pPr>
        <w:jc w:val="center"/>
        <w:rPr>
          <w:rFonts w:ascii="Times New Roman" w:hAnsi="Times New Roman" w:cs="Times New Roman"/>
          <w:b/>
          <w:bCs/>
          <w:sz w:val="28"/>
          <w:szCs w:val="28"/>
          <w:lang w:val="sv-SE"/>
        </w:rPr>
      </w:pPr>
    </w:p>
    <w:p w14:paraId="10D47F28">
      <w:pPr>
        <w:rPr>
          <w:rFonts w:ascii="Times New Roman" w:hAnsi="Times New Roman" w:cs="Times New Roman"/>
          <w:sz w:val="24"/>
          <w:szCs w:val="24"/>
          <w:lang w:val="sv-SE"/>
        </w:rPr>
      </w:pPr>
      <w:r>
        <w:rPr>
          <w:rFonts w:ascii="Times New Roman" w:hAnsi="Times New Roman" w:cs="Times New Roman"/>
          <w:sz w:val="24"/>
          <w:szCs w:val="24"/>
          <w:lang w:val="sv-SE"/>
        </w:rPr>
        <w:t>Kosova ka disa specifika sociale dhe historike që e dallojnë nga vendet e tjera dhe që ndikojnë drejtpërdrejt në përhapjen e dhunës në familje.</w:t>
      </w:r>
      <w:r>
        <w:rPr>
          <w:rStyle w:val="11"/>
          <w:rFonts w:ascii="Times New Roman" w:hAnsi="Times New Roman" w:cs="Times New Roman"/>
          <w:sz w:val="24"/>
          <w:szCs w:val="24"/>
          <w:lang w:val="sv-SE"/>
        </w:rPr>
        <w:footnoteReference w:id="16"/>
      </w:r>
    </w:p>
    <w:p w14:paraId="431EE411">
      <w:pPr>
        <w:rPr>
          <w:rFonts w:ascii="Times New Roman" w:hAnsi="Times New Roman" w:cs="Times New Roman"/>
          <w:b/>
          <w:bCs/>
          <w:sz w:val="24"/>
          <w:szCs w:val="24"/>
          <w:lang w:val="sv-SE"/>
        </w:rPr>
      </w:pPr>
      <w:r>
        <w:rPr>
          <w:rFonts w:ascii="Times New Roman" w:hAnsi="Times New Roman" w:cs="Times New Roman"/>
          <w:b/>
          <w:bCs/>
          <w:sz w:val="24"/>
          <w:szCs w:val="24"/>
          <w:lang w:val="sv-SE"/>
        </w:rPr>
        <w:t>4.1. Faktori Socio-Ekonomik dhe Prona</w:t>
      </w:r>
    </w:p>
    <w:p w14:paraId="018C95A6">
      <w:pPr>
        <w:rPr>
          <w:rFonts w:ascii="Times New Roman" w:hAnsi="Times New Roman" w:cs="Times New Roman"/>
          <w:sz w:val="24"/>
          <w:szCs w:val="24"/>
          <w:lang w:val="sv-SE"/>
        </w:rPr>
      </w:pPr>
      <w:r>
        <w:rPr>
          <w:rFonts w:ascii="Times New Roman" w:hAnsi="Times New Roman" w:cs="Times New Roman"/>
          <w:sz w:val="24"/>
          <w:szCs w:val="24"/>
          <w:lang w:val="sv-SE"/>
        </w:rPr>
        <w:t>Varësia ekonomike përbën një nga pengesat kryesore për largimin nga marrëdhëniet abuzive. Një përqindje shumë e ulët e grave në Kosovë zotërojnë pronë në emër të tyre (rreth 15–18%), çka e bën pavarësinë ekonomike pothuajse të pamundur dhe largimin nga dhuna të perceptohet si “vetëvrasje sociale”.</w:t>
      </w:r>
      <w:r>
        <w:rPr>
          <w:rStyle w:val="11"/>
          <w:rFonts w:ascii="Times New Roman" w:hAnsi="Times New Roman" w:cs="Times New Roman"/>
          <w:sz w:val="24"/>
          <w:szCs w:val="24"/>
          <w:lang w:val="sv-SE"/>
        </w:rPr>
        <w:footnoteReference w:id="17"/>
      </w:r>
    </w:p>
    <w:p w14:paraId="064B18EF">
      <w:pPr>
        <w:rPr>
          <w:rFonts w:ascii="Times New Roman" w:hAnsi="Times New Roman" w:cs="Times New Roman"/>
          <w:sz w:val="24"/>
          <w:szCs w:val="24"/>
          <w:lang w:val="sv-SE"/>
        </w:rPr>
      </w:pPr>
    </w:p>
    <w:p w14:paraId="58136977">
      <w:pPr>
        <w:rPr>
          <w:rFonts w:ascii="Times New Roman" w:hAnsi="Times New Roman" w:cs="Times New Roman"/>
          <w:b/>
          <w:bCs/>
          <w:sz w:val="24"/>
          <w:szCs w:val="24"/>
          <w:lang w:val="de-DE"/>
        </w:rPr>
      </w:pPr>
      <w:r>
        <w:rPr>
          <w:rFonts w:ascii="Times New Roman" w:hAnsi="Times New Roman" w:cs="Times New Roman"/>
          <w:b/>
          <w:bCs/>
          <w:sz w:val="24"/>
          <w:szCs w:val="24"/>
          <w:lang w:val="de-DE"/>
        </w:rPr>
        <w:t>4.2. Trashëgimia e Luftës dhe PTSD</w:t>
      </w:r>
    </w:p>
    <w:p w14:paraId="7BC1ED64">
      <w:pPr>
        <w:rPr>
          <w:rFonts w:ascii="Times New Roman" w:hAnsi="Times New Roman" w:cs="Times New Roman"/>
          <w:sz w:val="24"/>
          <w:szCs w:val="24"/>
          <w:lang w:val="sv-SE"/>
        </w:rPr>
      </w:pPr>
      <w:r>
        <w:rPr>
          <w:rFonts w:ascii="Times New Roman" w:hAnsi="Times New Roman" w:cs="Times New Roman"/>
          <w:sz w:val="24"/>
          <w:szCs w:val="24"/>
          <w:lang w:val="sv-SE"/>
        </w:rPr>
        <w:t>Traumat e papërpunuara të luftës, veçanërisht çrregullimi i stresit post-traumatik (PTSD), kanë ndikuar në rritjen e agresivitetit brenda familjes. Mungesa e shërbimeve adekuate të shëndetit mendor pas luftës ka lënë pasoja afatgjata në sjelljen kriminogjene.</w:t>
      </w:r>
      <w:r>
        <w:rPr>
          <w:rStyle w:val="11"/>
          <w:rFonts w:ascii="Times New Roman" w:hAnsi="Times New Roman" w:cs="Times New Roman"/>
          <w:sz w:val="24"/>
          <w:szCs w:val="24"/>
          <w:lang w:val="sv-SE"/>
        </w:rPr>
        <w:footnoteReference w:id="18"/>
      </w:r>
    </w:p>
    <w:p w14:paraId="776E999E">
      <w:pPr>
        <w:rPr>
          <w:rFonts w:ascii="Times New Roman" w:hAnsi="Times New Roman" w:cs="Times New Roman"/>
          <w:sz w:val="24"/>
          <w:szCs w:val="24"/>
          <w:lang w:val="sv-SE"/>
        </w:rPr>
      </w:pPr>
    </w:p>
    <w:p w14:paraId="59BD1C7F">
      <w:pPr>
        <w:rPr>
          <w:rFonts w:ascii="Times New Roman" w:hAnsi="Times New Roman" w:cs="Times New Roman"/>
          <w:b/>
          <w:bCs/>
          <w:sz w:val="24"/>
          <w:szCs w:val="24"/>
          <w:lang w:val="sv-SE"/>
        </w:rPr>
      </w:pPr>
      <w:r>
        <w:rPr>
          <w:rFonts w:ascii="Times New Roman" w:hAnsi="Times New Roman" w:cs="Times New Roman"/>
          <w:b/>
          <w:bCs/>
          <w:sz w:val="24"/>
          <w:szCs w:val="24"/>
          <w:lang w:val="sv-SE"/>
        </w:rPr>
        <w:t>4.3. Sistemi i Drejtësisë dhe Recidivizmi</w:t>
      </w:r>
    </w:p>
    <w:p w14:paraId="46FB280D">
      <w:pPr>
        <w:rPr>
          <w:rFonts w:ascii="Times New Roman" w:hAnsi="Times New Roman" w:cs="Times New Roman"/>
          <w:sz w:val="24"/>
          <w:szCs w:val="24"/>
          <w:lang w:val="sv-SE"/>
        </w:rPr>
      </w:pPr>
      <w:r>
        <w:rPr>
          <w:rFonts w:ascii="Times New Roman" w:hAnsi="Times New Roman" w:cs="Times New Roman"/>
          <w:sz w:val="24"/>
          <w:szCs w:val="24"/>
          <w:lang w:val="sv-SE"/>
        </w:rPr>
        <w:t>Një problem serioz kriminologjik në Kosovë është recidivizmi. Lirimi i shpeshtë i dhunuesve me procedurë të rregullt ose dënime me kusht e lë viktimën të pambrojtur dhe ul besimin në sistemin e drejtësisë.</w:t>
      </w:r>
      <w:r>
        <w:rPr>
          <w:rStyle w:val="11"/>
          <w:rFonts w:ascii="Times New Roman" w:hAnsi="Times New Roman" w:cs="Times New Roman"/>
          <w:sz w:val="24"/>
          <w:szCs w:val="24"/>
          <w:lang w:val="sv-SE"/>
        </w:rPr>
        <w:footnoteReference w:id="19"/>
      </w:r>
    </w:p>
    <w:p w14:paraId="4B404B4D">
      <w:pPr>
        <w:rPr>
          <w:rFonts w:ascii="Times New Roman" w:hAnsi="Times New Roman" w:cs="Times New Roman"/>
          <w:b/>
          <w:bCs/>
          <w:sz w:val="24"/>
          <w:szCs w:val="24"/>
          <w:lang w:val="sv-SE"/>
        </w:rPr>
      </w:pPr>
    </w:p>
    <w:p w14:paraId="2C3C547D">
      <w:pPr>
        <w:rPr>
          <w:rFonts w:ascii="Times New Roman" w:hAnsi="Times New Roman" w:cs="Times New Roman"/>
          <w:b/>
          <w:bCs/>
          <w:sz w:val="24"/>
          <w:szCs w:val="24"/>
          <w:lang w:val="sv-SE"/>
        </w:rPr>
      </w:pPr>
      <w:r>
        <w:rPr>
          <w:rFonts w:ascii="Times New Roman" w:hAnsi="Times New Roman" w:cs="Times New Roman"/>
          <w:b/>
          <w:bCs/>
          <w:sz w:val="24"/>
          <w:szCs w:val="24"/>
          <w:lang w:val="sv-SE"/>
        </w:rPr>
        <w:t>4.4. Narkomania dhe Varësitë</w:t>
      </w:r>
    </w:p>
    <w:p w14:paraId="21820A1E">
      <w:pPr>
        <w:rPr>
          <w:rFonts w:ascii="Times New Roman" w:hAnsi="Times New Roman" w:cs="Times New Roman"/>
          <w:sz w:val="24"/>
          <w:szCs w:val="24"/>
          <w:lang w:val="sv-SE"/>
        </w:rPr>
      </w:pPr>
      <w:r>
        <w:rPr>
          <w:rFonts w:ascii="Times New Roman" w:hAnsi="Times New Roman" w:cs="Times New Roman"/>
          <w:sz w:val="24"/>
          <w:szCs w:val="24"/>
          <w:lang w:val="sv-SE"/>
        </w:rPr>
        <w:t>Statistikat tregojnë se një përqindje e konsiderueshme e rasteve të dhunës në familje, veçanërisht në raportin prind–fëmijë, lidhen me përdorimin e drogës dhe substancave narkotike. Kjo dukuri është në rritje dhe paraqet rrezik serioz për të ardhmen.</w:t>
      </w:r>
      <w:r>
        <w:rPr>
          <w:rStyle w:val="11"/>
          <w:rFonts w:ascii="Times New Roman" w:hAnsi="Times New Roman" w:cs="Times New Roman"/>
          <w:sz w:val="24"/>
          <w:szCs w:val="24"/>
          <w:lang w:val="sv-SE"/>
        </w:rPr>
        <w:footnoteReference w:id="20"/>
      </w:r>
    </w:p>
    <w:p w14:paraId="1D2E0C50">
      <w:pPr>
        <w:rPr>
          <w:rFonts w:ascii="Times New Roman" w:hAnsi="Times New Roman" w:cs="Times New Roman"/>
          <w:sz w:val="24"/>
          <w:szCs w:val="24"/>
          <w:lang w:val="sv-SE"/>
        </w:rPr>
      </w:pPr>
    </w:p>
    <w:p w14:paraId="60F21B32">
      <w:pPr>
        <w:pStyle w:val="15"/>
        <w:spacing w:line="360" w:lineRule="auto"/>
        <w:jc w:val="center"/>
        <w:rPr>
          <w:rFonts w:ascii="Times New Roman" w:hAnsi="Times New Roman" w:cs="Times New Roman"/>
          <w:b/>
          <w:sz w:val="28"/>
          <w:szCs w:val="28"/>
        </w:rPr>
      </w:pPr>
      <w:bookmarkStart w:id="0" w:name="_Hlk218778649"/>
    </w:p>
    <w:p w14:paraId="7C94A8D6">
      <w:pPr>
        <w:pStyle w:val="15"/>
        <w:spacing w:line="360" w:lineRule="auto"/>
        <w:jc w:val="center"/>
        <w:rPr>
          <w:rFonts w:ascii="Times New Roman" w:hAnsi="Times New Roman" w:cs="Times New Roman"/>
          <w:b/>
          <w:sz w:val="28"/>
          <w:szCs w:val="28"/>
        </w:rPr>
      </w:pPr>
    </w:p>
    <w:p w14:paraId="11D0C1F1">
      <w:pPr>
        <w:pStyle w:val="15"/>
        <w:spacing w:line="360" w:lineRule="auto"/>
        <w:jc w:val="center"/>
        <w:rPr>
          <w:rFonts w:ascii="Times New Roman" w:hAnsi="Times New Roman" w:cs="Times New Roman"/>
          <w:b/>
          <w:sz w:val="28"/>
          <w:szCs w:val="28"/>
        </w:rPr>
      </w:pPr>
    </w:p>
    <w:p w14:paraId="39FE5F18">
      <w:pPr>
        <w:pStyle w:val="15"/>
        <w:spacing w:line="360" w:lineRule="auto"/>
        <w:jc w:val="center"/>
        <w:rPr>
          <w:rFonts w:ascii="Times New Roman" w:hAnsi="Times New Roman" w:cs="Times New Roman"/>
          <w:b/>
          <w:sz w:val="28"/>
          <w:szCs w:val="28"/>
        </w:rPr>
      </w:pPr>
      <w:r>
        <w:rPr>
          <w:rFonts w:ascii="Times New Roman" w:hAnsi="Times New Roman" w:cs="Times New Roman"/>
          <w:b/>
          <w:sz w:val="28"/>
          <w:szCs w:val="28"/>
        </w:rPr>
        <w:t>STATISTIKAT DHE VIKTIMOLOGJIA</w:t>
      </w:r>
    </w:p>
    <w:p w14:paraId="7DC067D0">
      <w:pPr>
        <w:pStyle w:val="15"/>
        <w:spacing w:line="360" w:lineRule="auto"/>
        <w:jc w:val="center"/>
        <w:rPr>
          <w:rFonts w:ascii="Times New Roman" w:hAnsi="Times New Roman" w:cs="Times New Roman"/>
          <w:b/>
          <w:sz w:val="28"/>
          <w:szCs w:val="28"/>
        </w:rPr>
      </w:pPr>
    </w:p>
    <w:p w14:paraId="1B733470">
      <w:pPr>
        <w:pStyle w:val="15"/>
        <w:spacing w:line="360" w:lineRule="auto"/>
        <w:rPr>
          <w:rFonts w:ascii="Times New Roman" w:hAnsi="Times New Roman" w:cs="Times New Roman"/>
          <w:sz w:val="24"/>
          <w:szCs w:val="24"/>
        </w:rPr>
      </w:pPr>
      <w:r>
        <w:rPr>
          <w:rFonts w:ascii="Times New Roman" w:hAnsi="Times New Roman" w:cs="Times New Roman"/>
          <w:sz w:val="24"/>
          <w:szCs w:val="24"/>
        </w:rPr>
        <w:t>Sipas raporteve të fundit të institucioneve relevante në Kosovë, raportimi i rasteve të dhunës në familje ka shënuar një rritje prej rreth 15–20% në periudhën 2024–2025, duke reflektuar jo vetëm një vetëdijesim të shtuar, por edhe një agresivitet të vazhdueshëm në shoqëri.</w:t>
      </w:r>
      <w:r>
        <w:rPr>
          <w:rStyle w:val="11"/>
          <w:rFonts w:ascii="Times New Roman" w:hAnsi="Times New Roman" w:cs="Times New Roman"/>
          <w:sz w:val="24"/>
          <w:szCs w:val="24"/>
        </w:rPr>
        <w:footnoteReference w:id="21"/>
      </w:r>
    </w:p>
    <w:p w14:paraId="2DAF76CB">
      <w:pPr>
        <w:pStyle w:val="15"/>
        <w:spacing w:line="360" w:lineRule="auto"/>
        <w:rPr>
          <w:rFonts w:ascii="Times New Roman" w:hAnsi="Times New Roman" w:cs="Times New Roman"/>
          <w:sz w:val="24"/>
          <w:szCs w:val="24"/>
        </w:rPr>
      </w:pPr>
      <w:r>
        <w:rPr>
          <w:rFonts w:ascii="Times New Roman" w:hAnsi="Times New Roman" w:cs="Times New Roman"/>
          <w:sz w:val="24"/>
          <w:szCs w:val="24"/>
        </w:rPr>
        <w:t>Në lidhje me profilin e viktimave, gratë mbeten grupi më i prekur (mbi 80%), megjithatë ka pasur një rritje të raportimeve të rasteve të dhunës ndaj prindërve të moshuar, duke nxjerrë në pah nevojën për vëmendje më të madhe në këtë kategori të cenueshme.</w:t>
      </w:r>
      <w:r>
        <w:rPr>
          <w:rStyle w:val="11"/>
          <w:rFonts w:ascii="Times New Roman" w:hAnsi="Times New Roman" w:cs="Times New Roman"/>
          <w:sz w:val="24"/>
          <w:szCs w:val="24"/>
        </w:rPr>
        <w:footnoteReference w:id="22"/>
      </w:r>
    </w:p>
    <w:p w14:paraId="31EC44BD">
      <w:pPr>
        <w:pStyle w:val="15"/>
        <w:spacing w:line="360" w:lineRule="auto"/>
        <w:rPr>
          <w:rFonts w:ascii="Times New Roman" w:hAnsi="Times New Roman" w:cs="Times New Roman"/>
          <w:sz w:val="24"/>
          <w:szCs w:val="24"/>
        </w:rPr>
      </w:pPr>
    </w:p>
    <w:tbl>
      <w:tblPr>
        <w:tblStyle w:val="17"/>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6"/>
        <w:gridCol w:w="2810"/>
        <w:gridCol w:w="4210"/>
      </w:tblGrid>
      <w:tr w14:paraId="136F6F2C">
        <w:tc>
          <w:tcPr>
            <w:tcW w:w="0" w:type="auto"/>
          </w:tcPr>
          <w:p w14:paraId="5015DAF4">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Periudha</w:t>
            </w:r>
          </w:p>
        </w:tc>
        <w:tc>
          <w:tcPr>
            <w:tcW w:w="0" w:type="auto"/>
          </w:tcPr>
          <w:p w14:paraId="717DA9BD">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Numri i rasteve/viktimave</w:t>
            </w:r>
          </w:p>
        </w:tc>
        <w:tc>
          <w:tcPr>
            <w:tcW w:w="0" w:type="auto"/>
          </w:tcPr>
          <w:p w14:paraId="7CE5B576">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Shënime Kryesore</w:t>
            </w:r>
          </w:p>
        </w:tc>
      </w:tr>
      <w:tr w14:paraId="4368432B">
        <w:tc>
          <w:tcPr>
            <w:tcW w:w="0" w:type="auto"/>
          </w:tcPr>
          <w:p w14:paraId="3508B5D7">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Viti 2023</w:t>
            </w:r>
          </w:p>
        </w:tc>
        <w:tc>
          <w:tcPr>
            <w:tcW w:w="0" w:type="auto"/>
          </w:tcPr>
          <w:p w14:paraId="2A34BE31">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color w:val="1F1F1F"/>
                <w:sz w:val="24"/>
                <w:szCs w:val="24"/>
              </w:rPr>
              <w:t>2,639 raste</w:t>
            </w:r>
          </w:p>
        </w:tc>
        <w:tc>
          <w:tcPr>
            <w:tcW w:w="0" w:type="auto"/>
          </w:tcPr>
          <w:p w14:paraId="44712369">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color w:val="1F1F1F"/>
                <w:sz w:val="24"/>
                <w:szCs w:val="24"/>
              </w:rPr>
              <w:t>Baza krahasuese.</w:t>
            </w:r>
          </w:p>
        </w:tc>
      </w:tr>
      <w:tr w14:paraId="78A65717">
        <w:tc>
          <w:tcPr>
            <w:tcW w:w="0" w:type="auto"/>
          </w:tcPr>
          <w:p w14:paraId="11E5A22A">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Viti 2024</w:t>
            </w:r>
          </w:p>
        </w:tc>
        <w:tc>
          <w:tcPr>
            <w:tcW w:w="0" w:type="auto"/>
          </w:tcPr>
          <w:p w14:paraId="318ADB0F">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2,959 raste</w:t>
            </w:r>
          </w:p>
        </w:tc>
        <w:tc>
          <w:tcPr>
            <w:tcW w:w="0" w:type="auto"/>
          </w:tcPr>
          <w:p w14:paraId="370291F6">
            <w:pPr>
              <w:spacing w:after="0" w:line="240" w:lineRule="auto"/>
              <w:rPr>
                <w:rFonts w:ascii="Times New Roman" w:hAnsi="Times New Roman" w:eastAsia="Times New Roman" w:cs="Times New Roman"/>
                <w:color w:val="1F1F1F"/>
                <w:sz w:val="24"/>
                <w:szCs w:val="24"/>
                <w:lang w:val="sv-SE"/>
              </w:rPr>
            </w:pPr>
            <w:r>
              <w:rPr>
                <w:rFonts w:ascii="Times New Roman" w:hAnsi="Times New Roman" w:eastAsia="Times New Roman" w:cs="Times New Roman"/>
                <w:color w:val="1F1F1F"/>
                <w:sz w:val="24"/>
                <w:szCs w:val="24"/>
                <w:lang w:val="sv-SE"/>
              </w:rPr>
              <w:t>Rritje prej 320 rastesh më shumë se në 2023.</w:t>
            </w:r>
          </w:p>
        </w:tc>
      </w:tr>
      <w:tr w14:paraId="11F0A149">
        <w:tc>
          <w:tcPr>
            <w:tcW w:w="0" w:type="auto"/>
          </w:tcPr>
          <w:p w14:paraId="20680D8F">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b/>
                <w:bCs/>
                <w:color w:val="1F1F1F"/>
                <w:sz w:val="24"/>
                <w:szCs w:val="24"/>
              </w:rPr>
              <w:t>Janar–Tetor 2025</w:t>
            </w:r>
          </w:p>
        </w:tc>
        <w:tc>
          <w:tcPr>
            <w:tcW w:w="0" w:type="auto"/>
          </w:tcPr>
          <w:p w14:paraId="52DCF8B2">
            <w:pPr>
              <w:spacing w:after="0" w:line="240" w:lineRule="auto"/>
              <w:rPr>
                <w:rFonts w:ascii="Times New Roman" w:hAnsi="Times New Roman" w:eastAsia="Times New Roman" w:cs="Times New Roman"/>
                <w:color w:val="1F1F1F"/>
                <w:sz w:val="24"/>
                <w:szCs w:val="24"/>
              </w:rPr>
            </w:pPr>
            <w:r>
              <w:rPr>
                <w:rFonts w:ascii="Times New Roman" w:hAnsi="Times New Roman" w:eastAsia="Times New Roman" w:cs="Times New Roman"/>
                <w:color w:val="1F1F1F"/>
                <w:sz w:val="24"/>
                <w:szCs w:val="24"/>
              </w:rPr>
              <w:t>2,429 raste</w:t>
            </w:r>
          </w:p>
        </w:tc>
        <w:tc>
          <w:tcPr>
            <w:tcW w:w="0" w:type="auto"/>
          </w:tcPr>
          <w:p w14:paraId="023DA507">
            <w:pPr>
              <w:spacing w:after="0" w:line="240" w:lineRule="auto"/>
              <w:rPr>
                <w:rFonts w:ascii="Times New Roman" w:hAnsi="Times New Roman" w:eastAsia="Times New Roman" w:cs="Times New Roman"/>
                <w:color w:val="1F1F1F"/>
                <w:sz w:val="24"/>
                <w:szCs w:val="24"/>
                <w:lang w:val="sv-SE"/>
              </w:rPr>
            </w:pPr>
            <w:r>
              <w:rPr>
                <w:rFonts w:ascii="Times New Roman" w:hAnsi="Times New Roman" w:eastAsia="Times New Roman" w:cs="Times New Roman"/>
                <w:color w:val="1F1F1F"/>
                <w:sz w:val="24"/>
                <w:szCs w:val="24"/>
                <w:lang w:val="sv-SE"/>
              </w:rPr>
              <w:t>Trendi mbetet i lartë (mbi 2,400 viktima).</w:t>
            </w:r>
          </w:p>
        </w:tc>
      </w:tr>
    </w:tbl>
    <w:p w14:paraId="576839A6">
      <w:pPr>
        <w:pStyle w:val="15"/>
        <w:spacing w:line="360" w:lineRule="auto"/>
        <w:rPr>
          <w:rFonts w:ascii="Times New Roman" w:hAnsi="Times New Roman" w:cs="Times New Roman"/>
          <w:sz w:val="24"/>
          <w:szCs w:val="24"/>
        </w:rPr>
      </w:pPr>
    </w:p>
    <w:bookmarkEnd w:id="0"/>
    <w:p w14:paraId="5137BFCF">
      <w:pPr>
        <w:rPr>
          <w:rFonts w:ascii="Times New Roman" w:hAnsi="Times New Roman" w:cs="Times New Roman"/>
          <w:kern w:val="0"/>
          <w:sz w:val="24"/>
          <w:szCs w:val="24"/>
          <w:lang w:val="sq-AL"/>
          <w14:ligatures w14:val="none"/>
        </w:rPr>
      </w:pPr>
      <w:r>
        <w:rPr>
          <w:rFonts w:ascii="Times New Roman" w:hAnsi="Times New Roman" w:cs="Times New Roman"/>
          <w:kern w:val="0"/>
          <w:sz w:val="24"/>
          <w:szCs w:val="24"/>
          <w:lang w:val="sq-AL"/>
          <w14:ligatures w14:val="none"/>
        </w:rPr>
        <w:t>Viktimologjia, si një degë e kriminologjisë, studion posaçërisht viktimat, përvojat e tyre, procesin e viktimizimit dhe marrëdhëniet mes viktimës dhe autorit. Kur flasim për dhunën në familje, fokusi zhvendoset nga pyetja “pse e bëri dhunuesi këtë?” te pyetja “çfarë po përjeton viktima dhe si ndikohet ajo?” — një qasje kyçe për mbrojtjen dhe trajtimin e viktimave.</w:t>
      </w:r>
      <w:r>
        <w:rPr>
          <w:rStyle w:val="11"/>
          <w:rFonts w:ascii="Times New Roman" w:hAnsi="Times New Roman" w:cs="Times New Roman"/>
          <w:kern w:val="0"/>
          <w:sz w:val="24"/>
          <w:szCs w:val="24"/>
          <w:lang w:val="sq-AL"/>
          <w14:ligatures w14:val="none"/>
        </w:rPr>
        <w:footnoteReference w:id="23"/>
      </w:r>
    </w:p>
    <w:p w14:paraId="1CCD21DD">
      <w:pPr>
        <w:rPr>
          <w:rFonts w:ascii="Times New Roman" w:hAnsi="Times New Roman" w:cs="Times New Roman"/>
          <w:b/>
          <w:bCs/>
          <w:sz w:val="24"/>
          <w:szCs w:val="24"/>
          <w:lang w:val="sq-AL"/>
        </w:rPr>
      </w:pPr>
      <w:r>
        <w:rPr>
          <w:rFonts w:ascii="Times New Roman" w:hAnsi="Times New Roman" w:cs="Times New Roman"/>
          <w:b/>
          <w:bCs/>
          <w:sz w:val="24"/>
          <w:szCs w:val="24"/>
          <w:lang w:val="sq-AL"/>
        </w:rPr>
        <w:t>1. Kuptimi i Procesit të Viktimizimit</w:t>
      </w:r>
    </w:p>
    <w:p w14:paraId="0498DAC1">
      <w:pPr>
        <w:rPr>
          <w:rFonts w:ascii="Times New Roman" w:hAnsi="Times New Roman" w:cs="Times New Roman"/>
          <w:sz w:val="24"/>
          <w:szCs w:val="24"/>
          <w:lang w:val="sq-AL"/>
        </w:rPr>
      </w:pPr>
      <w:r>
        <w:rPr>
          <w:rFonts w:ascii="Times New Roman" w:hAnsi="Times New Roman" w:cs="Times New Roman"/>
          <w:sz w:val="24"/>
          <w:szCs w:val="24"/>
          <w:lang w:val="sq-AL"/>
        </w:rPr>
        <w:t>Viktimologjia shpjegon se dhuna në familje nuk është një incident i izoluar, por një proces i vazhdueshëm.</w:t>
      </w:r>
      <w:r>
        <w:rPr>
          <w:rStyle w:val="11"/>
          <w:rFonts w:ascii="Times New Roman" w:hAnsi="Times New Roman" w:cs="Times New Roman"/>
          <w:sz w:val="24"/>
          <w:szCs w:val="24"/>
          <w:lang w:val="sq-AL"/>
        </w:rPr>
        <w:footnoteReference w:id="24"/>
      </w:r>
    </w:p>
    <w:p w14:paraId="770CCBD1">
      <w:pPr>
        <w:rPr>
          <w:rFonts w:ascii="Times New Roman" w:hAnsi="Times New Roman" w:cs="Times New Roman"/>
          <w:sz w:val="24"/>
          <w:szCs w:val="24"/>
          <w:lang w:val="sq-AL"/>
        </w:rPr>
      </w:pPr>
      <w:r>
        <w:rPr>
          <w:rFonts w:ascii="Times New Roman" w:hAnsi="Times New Roman" w:cs="Times New Roman"/>
          <w:sz w:val="24"/>
          <w:szCs w:val="24"/>
          <w:lang w:val="sq-AL"/>
        </w:rPr>
        <w:t xml:space="preserve">• </w:t>
      </w:r>
      <w:r>
        <w:rPr>
          <w:rFonts w:ascii="Times New Roman" w:hAnsi="Times New Roman" w:cs="Times New Roman"/>
          <w:b/>
          <w:bCs/>
          <w:sz w:val="24"/>
          <w:szCs w:val="24"/>
          <w:lang w:val="sq-AL"/>
        </w:rPr>
        <w:t>Viktimizimi Primar:</w:t>
      </w:r>
      <w:r>
        <w:rPr>
          <w:rFonts w:ascii="Times New Roman" w:hAnsi="Times New Roman" w:cs="Times New Roman"/>
          <w:sz w:val="24"/>
          <w:szCs w:val="24"/>
          <w:lang w:val="sq-AL"/>
        </w:rPr>
        <w:t xml:space="preserve"> Dëmi i drejtpërdrejtë (fizik, psikologjik, ekonomik) që pëson personi nga dhunuesi.</w:t>
      </w:r>
      <w:r>
        <w:rPr>
          <w:rStyle w:val="11"/>
          <w:rFonts w:ascii="Times New Roman" w:hAnsi="Times New Roman" w:cs="Times New Roman"/>
          <w:sz w:val="24"/>
          <w:szCs w:val="24"/>
          <w:lang w:val="sq-AL"/>
        </w:rPr>
        <w:footnoteReference w:id="25"/>
      </w:r>
    </w:p>
    <w:p w14:paraId="40F4097C">
      <w:pPr>
        <w:rPr>
          <w:rFonts w:ascii="Times New Roman" w:hAnsi="Times New Roman" w:cs="Times New Roman"/>
          <w:sz w:val="24"/>
          <w:szCs w:val="24"/>
          <w:lang w:val="sq-AL"/>
        </w:rPr>
      </w:pPr>
      <w:r>
        <w:rPr>
          <w:rFonts w:ascii="Times New Roman" w:hAnsi="Times New Roman" w:cs="Times New Roman"/>
          <w:sz w:val="24"/>
          <w:szCs w:val="24"/>
          <w:lang w:val="sq-AL"/>
        </w:rPr>
        <w:t xml:space="preserve">• </w:t>
      </w:r>
      <w:r>
        <w:rPr>
          <w:rFonts w:ascii="Times New Roman" w:hAnsi="Times New Roman" w:cs="Times New Roman"/>
          <w:b/>
          <w:bCs/>
          <w:sz w:val="24"/>
          <w:szCs w:val="24"/>
          <w:lang w:val="sq-AL"/>
        </w:rPr>
        <w:t>Viktimizimi Dytësor (Sekondar):</w:t>
      </w:r>
      <w:r>
        <w:rPr>
          <w:rFonts w:ascii="Times New Roman" w:hAnsi="Times New Roman" w:cs="Times New Roman"/>
          <w:sz w:val="24"/>
          <w:szCs w:val="24"/>
          <w:lang w:val="sq-AL"/>
        </w:rPr>
        <w:t xml:space="preserve"> Ky është një koncept kyç viktimologjik. Ndodh kur institucionet (policia, gjykatat, spitalet) e trajtojnë viktimën me mosbesim, ftohtësi apo paragjykim, duke e bërë atë të ndihet sërish si viktimë, këtë herë e sistemit.</w:t>
      </w:r>
      <w:r>
        <w:rPr>
          <w:rStyle w:val="11"/>
          <w:rFonts w:ascii="Times New Roman" w:hAnsi="Times New Roman" w:cs="Times New Roman"/>
          <w:sz w:val="24"/>
          <w:szCs w:val="24"/>
          <w:lang w:val="sq-AL"/>
        </w:rPr>
        <w:footnoteReference w:id="26"/>
      </w:r>
    </w:p>
    <w:p w14:paraId="02AF0BD0">
      <w:pPr>
        <w:rPr>
          <w:rFonts w:ascii="Times New Roman" w:hAnsi="Times New Roman" w:cs="Times New Roman"/>
          <w:sz w:val="24"/>
          <w:szCs w:val="24"/>
          <w:lang w:val="sq-AL"/>
        </w:rPr>
      </w:pPr>
      <w:r>
        <w:rPr>
          <w:rFonts w:ascii="Times New Roman" w:hAnsi="Times New Roman" w:cs="Times New Roman"/>
          <w:sz w:val="24"/>
          <w:szCs w:val="24"/>
          <w:lang w:val="sq-AL"/>
        </w:rPr>
        <w:t xml:space="preserve">• </w:t>
      </w:r>
      <w:r>
        <w:rPr>
          <w:rFonts w:ascii="Times New Roman" w:hAnsi="Times New Roman" w:cs="Times New Roman"/>
          <w:b/>
          <w:bCs/>
          <w:sz w:val="24"/>
          <w:szCs w:val="24"/>
          <w:lang w:val="sq-AL"/>
        </w:rPr>
        <w:t>Viktimizimi Indirekt:</w:t>
      </w:r>
      <w:r>
        <w:rPr>
          <w:rFonts w:ascii="Times New Roman" w:hAnsi="Times New Roman" w:cs="Times New Roman"/>
          <w:sz w:val="24"/>
          <w:szCs w:val="24"/>
          <w:lang w:val="sq-AL"/>
        </w:rPr>
        <w:t xml:space="preserve"> Studion ndikimin te personat që dëshmojnë dhunën, veçanërisht fëmijët, të cilët ndonëse nuk goditen fizikisht, pësojnë trauma të rënda psikologjike.</w:t>
      </w:r>
      <w:r>
        <w:rPr>
          <w:rStyle w:val="11"/>
          <w:rFonts w:ascii="Times New Roman" w:hAnsi="Times New Roman" w:cs="Times New Roman"/>
          <w:sz w:val="24"/>
          <w:szCs w:val="24"/>
          <w:lang w:val="sq-AL"/>
        </w:rPr>
        <w:footnoteReference w:id="27"/>
      </w:r>
    </w:p>
    <w:p w14:paraId="5EADDD19">
      <w:pPr>
        <w:rPr>
          <w:rFonts w:ascii="Times New Roman" w:hAnsi="Times New Roman" w:cs="Times New Roman"/>
          <w:sz w:val="24"/>
          <w:szCs w:val="24"/>
          <w:lang w:val="sq-AL"/>
        </w:rPr>
      </w:pPr>
    </w:p>
    <w:p w14:paraId="1064CE75">
      <w:pPr>
        <w:rPr>
          <w:rFonts w:ascii="Times New Roman" w:hAnsi="Times New Roman" w:cs="Times New Roman"/>
          <w:b/>
          <w:bCs/>
          <w:sz w:val="24"/>
          <w:szCs w:val="24"/>
        </w:rPr>
      </w:pPr>
      <w:r>
        <w:rPr>
          <w:rFonts w:ascii="Times New Roman" w:hAnsi="Times New Roman" w:cs="Times New Roman"/>
          <w:b/>
          <w:bCs/>
          <w:sz w:val="24"/>
          <w:szCs w:val="24"/>
        </w:rPr>
        <w:t>2. Tipologjia e Viktimave</w:t>
      </w:r>
    </w:p>
    <w:p w14:paraId="06511236">
      <w:pPr>
        <w:rPr>
          <w:rFonts w:ascii="Times New Roman" w:hAnsi="Times New Roman" w:cs="Times New Roman"/>
          <w:sz w:val="24"/>
          <w:szCs w:val="24"/>
        </w:rPr>
      </w:pPr>
      <w:r>
        <w:rPr>
          <w:rFonts w:ascii="Times New Roman" w:hAnsi="Times New Roman" w:cs="Times New Roman"/>
          <w:sz w:val="24"/>
          <w:szCs w:val="24"/>
        </w:rPr>
        <w:t>Viktimologjia ndihmon në kategorizimin e viktimave për të ofruar ndihmë specifike. Në dhunën në familje, ajo analizon:</w:t>
      </w:r>
    </w:p>
    <w:p w14:paraId="6F345278">
      <w:pPr>
        <w:rPr>
          <w:rFonts w:ascii="Times New Roman" w:hAnsi="Times New Roman" w:cs="Times New Roman"/>
          <w:sz w:val="24"/>
          <w:szCs w:val="24"/>
        </w:rPr>
      </w:pPr>
      <w:r>
        <w:rPr>
          <w:rFonts w:ascii="Times New Roman" w:hAnsi="Times New Roman" w:cs="Times New Roman"/>
          <w:sz w:val="24"/>
          <w:szCs w:val="24"/>
        </w:rPr>
        <w:t>• Gratë: Si grupi më i rrezikuar për shkak të raporteve të pabarabarta të pushtetit.</w:t>
      </w:r>
      <w:r>
        <w:rPr>
          <w:rStyle w:val="11"/>
          <w:rFonts w:ascii="Times New Roman" w:hAnsi="Times New Roman" w:cs="Times New Roman"/>
          <w:sz w:val="24"/>
          <w:szCs w:val="24"/>
        </w:rPr>
        <w:footnoteReference w:id="28"/>
      </w:r>
    </w:p>
    <w:p w14:paraId="454CAFEB">
      <w:pPr>
        <w:rPr>
          <w:rFonts w:ascii="Times New Roman" w:hAnsi="Times New Roman" w:cs="Times New Roman"/>
          <w:sz w:val="24"/>
          <w:szCs w:val="24"/>
          <w:lang w:val="sv-SE"/>
        </w:rPr>
      </w:pPr>
      <w:r>
        <w:rPr>
          <w:rFonts w:ascii="Times New Roman" w:hAnsi="Times New Roman" w:cs="Times New Roman"/>
          <w:sz w:val="24"/>
          <w:szCs w:val="24"/>
          <w:lang w:val="sv-SE"/>
        </w:rPr>
        <w:t>• Fëmijët: Si viktima pasive ose aktive.</w:t>
      </w:r>
      <w:r>
        <w:rPr>
          <w:rStyle w:val="11"/>
          <w:rFonts w:ascii="Times New Roman" w:hAnsi="Times New Roman" w:cs="Times New Roman"/>
          <w:sz w:val="24"/>
          <w:szCs w:val="24"/>
          <w:lang w:val="sv-SE"/>
        </w:rPr>
        <w:footnoteReference w:id="29"/>
      </w:r>
    </w:p>
    <w:p w14:paraId="2A059A9F">
      <w:pPr>
        <w:rPr>
          <w:rFonts w:ascii="Times New Roman" w:hAnsi="Times New Roman" w:cs="Times New Roman"/>
          <w:sz w:val="24"/>
          <w:szCs w:val="24"/>
          <w:lang w:val="sv-SE"/>
        </w:rPr>
      </w:pPr>
      <w:r>
        <w:rPr>
          <w:rFonts w:ascii="Times New Roman" w:hAnsi="Times New Roman" w:cs="Times New Roman"/>
          <w:sz w:val="24"/>
          <w:szCs w:val="24"/>
          <w:lang w:val="sv-SE"/>
        </w:rPr>
        <w:t>• Të moshuarit: Një grup shpesh i harruar që vuan nga neglizhenca ose abuzimi financiar.</w:t>
      </w:r>
      <w:r>
        <w:rPr>
          <w:rStyle w:val="11"/>
          <w:rFonts w:ascii="Times New Roman" w:hAnsi="Times New Roman" w:cs="Times New Roman"/>
          <w:sz w:val="24"/>
          <w:szCs w:val="24"/>
          <w:lang w:val="sv-SE"/>
        </w:rPr>
        <w:footnoteReference w:id="30"/>
      </w:r>
    </w:p>
    <w:p w14:paraId="6D936744">
      <w:pPr>
        <w:rPr>
          <w:rFonts w:ascii="Times New Roman" w:hAnsi="Times New Roman" w:cs="Times New Roman"/>
          <w:sz w:val="24"/>
          <w:szCs w:val="24"/>
          <w:lang w:val="sv-SE"/>
        </w:rPr>
      </w:pPr>
      <w:r>
        <w:rPr>
          <w:rFonts w:ascii="Times New Roman" w:hAnsi="Times New Roman" w:cs="Times New Roman"/>
          <w:sz w:val="24"/>
          <w:szCs w:val="24"/>
          <w:lang w:val="sv-SE"/>
        </w:rPr>
        <w:t>• Burrat: Viktimologjia moderne pranon dhe studion edhe burrat si viktima, duke analizuar stigmën sociale që i pengon ata të raportojnë.</w:t>
      </w:r>
      <w:r>
        <w:rPr>
          <w:rStyle w:val="11"/>
          <w:rFonts w:ascii="Times New Roman" w:hAnsi="Times New Roman" w:cs="Times New Roman"/>
          <w:sz w:val="24"/>
          <w:szCs w:val="24"/>
          <w:lang w:val="sv-SE"/>
        </w:rPr>
        <w:footnoteReference w:id="31"/>
      </w:r>
    </w:p>
    <w:p w14:paraId="4AED86B3">
      <w:pPr>
        <w:rPr>
          <w:rFonts w:ascii="Times New Roman" w:hAnsi="Times New Roman" w:cs="Times New Roman"/>
          <w:b/>
          <w:bCs/>
          <w:sz w:val="24"/>
          <w:szCs w:val="24"/>
          <w:lang w:val="sv-SE"/>
        </w:rPr>
      </w:pPr>
      <w:r>
        <w:rPr>
          <w:rFonts w:ascii="Times New Roman" w:hAnsi="Times New Roman" w:cs="Times New Roman"/>
          <w:b/>
          <w:bCs/>
          <w:sz w:val="24"/>
          <w:szCs w:val="24"/>
          <w:lang w:val="sv-SE"/>
        </w:rPr>
        <w:t>3. Marrëdhënia Viktimë–Autor (Cikli i Dhunës)</w:t>
      </w:r>
    </w:p>
    <w:p w14:paraId="08BF2EFA">
      <w:pPr>
        <w:rPr>
          <w:rFonts w:ascii="Times New Roman" w:hAnsi="Times New Roman" w:cs="Times New Roman"/>
          <w:sz w:val="24"/>
          <w:szCs w:val="24"/>
          <w:lang w:val="sv-SE"/>
        </w:rPr>
      </w:pPr>
      <w:r>
        <w:rPr>
          <w:rFonts w:ascii="Times New Roman" w:hAnsi="Times New Roman" w:cs="Times New Roman"/>
          <w:sz w:val="24"/>
          <w:szCs w:val="24"/>
          <w:lang w:val="sv-SE"/>
        </w:rPr>
        <w:t>Për dallim nga krimet e rrugës, në dhunën në familje viktima dhe autori kanë lidhje emocionale dhe jetojnë bashkë. Viktimologjia studion “Traumatic Bonding” (lidhjen traumatike), ku viktima zhvillon një lloj varësie emocionale ndaj dhunuesit, gjë që shpjegon pse shumë viktima tërhiqen nga denoncimet ose kthehen te partneri abuziv.</w:t>
      </w:r>
      <w:r>
        <w:rPr>
          <w:rStyle w:val="11"/>
          <w:rFonts w:ascii="Times New Roman" w:hAnsi="Times New Roman" w:cs="Times New Roman"/>
          <w:sz w:val="24"/>
          <w:szCs w:val="24"/>
          <w:lang w:val="sv-SE"/>
        </w:rPr>
        <w:footnoteReference w:id="32"/>
      </w:r>
    </w:p>
    <w:p w14:paraId="2979DDC0">
      <w:pPr>
        <w:rPr>
          <w:rFonts w:ascii="Times New Roman" w:hAnsi="Times New Roman" w:cs="Times New Roman"/>
          <w:b/>
          <w:bCs/>
          <w:sz w:val="24"/>
          <w:szCs w:val="24"/>
          <w:lang w:val="sv-SE"/>
        </w:rPr>
      </w:pPr>
      <w:r>
        <w:rPr>
          <w:rFonts w:ascii="Times New Roman" w:hAnsi="Times New Roman" w:cs="Times New Roman"/>
          <w:b/>
          <w:bCs/>
          <w:sz w:val="24"/>
          <w:szCs w:val="24"/>
          <w:lang w:val="sv-SE"/>
        </w:rPr>
        <w:t>4. Teoria e “Përgjegjësisë” dhe Shmangia e “Victim Blaming”</w:t>
      </w:r>
    </w:p>
    <w:p w14:paraId="1077B444">
      <w:pPr>
        <w:rPr>
          <w:rFonts w:ascii="Times New Roman" w:hAnsi="Times New Roman" w:cs="Times New Roman"/>
          <w:sz w:val="24"/>
          <w:szCs w:val="24"/>
        </w:rPr>
      </w:pPr>
      <w:r>
        <w:rPr>
          <w:rFonts w:ascii="Times New Roman" w:hAnsi="Times New Roman" w:cs="Times New Roman"/>
          <w:sz w:val="24"/>
          <w:szCs w:val="24"/>
        </w:rPr>
        <w:t>Një nga kontributet më të mëdha të viktimologjisë moderne është luftimi i “Victim Blaming” (fajësimit të viktimës). Historikisht, pyetej “çfarë bëri viktima për ta provokuar dhunuesin?”. Viktimologjia shkencore sot argumenton se përgjegjësia i takon ekskluzivisht autorit dhe se sjellja e viktimës është shpesh një mekanizëm mbijetese, jo shkak i krimit.</w:t>
      </w:r>
      <w:r>
        <w:rPr>
          <w:rStyle w:val="11"/>
          <w:rFonts w:ascii="Times New Roman" w:hAnsi="Times New Roman" w:cs="Times New Roman"/>
          <w:sz w:val="24"/>
          <w:szCs w:val="24"/>
        </w:rPr>
        <w:footnoteReference w:id="33"/>
      </w:r>
    </w:p>
    <w:p w14:paraId="5B4B5630">
      <w:pPr>
        <w:rPr>
          <w:rFonts w:ascii="Times New Roman" w:hAnsi="Times New Roman" w:cs="Times New Roman"/>
          <w:b/>
          <w:bCs/>
          <w:sz w:val="24"/>
          <w:szCs w:val="24"/>
        </w:rPr>
      </w:pPr>
      <w:r>
        <w:rPr>
          <w:rFonts w:ascii="Times New Roman" w:hAnsi="Times New Roman" w:cs="Times New Roman"/>
          <w:b/>
          <w:bCs/>
          <w:sz w:val="24"/>
          <w:szCs w:val="24"/>
        </w:rPr>
        <w:t>5. Të Drejtat dhe Kompensimi</w:t>
      </w:r>
    </w:p>
    <w:p w14:paraId="74366632">
      <w:pPr>
        <w:rPr>
          <w:rFonts w:ascii="Times New Roman" w:hAnsi="Times New Roman" w:cs="Times New Roman"/>
          <w:sz w:val="24"/>
          <w:szCs w:val="24"/>
        </w:rPr>
      </w:pPr>
      <w:r>
        <w:rPr>
          <w:rFonts w:ascii="Times New Roman" w:hAnsi="Times New Roman" w:cs="Times New Roman"/>
          <w:sz w:val="24"/>
          <w:szCs w:val="24"/>
        </w:rPr>
        <w:t>Viktimologjia ka shtyrë përpara reforma ligjore që fokusohen te Drejtësia Restauruese:</w:t>
      </w:r>
      <w:r>
        <w:rPr>
          <w:rStyle w:val="11"/>
          <w:rFonts w:ascii="Times New Roman" w:hAnsi="Times New Roman" w:cs="Times New Roman"/>
          <w:sz w:val="24"/>
          <w:szCs w:val="24"/>
        </w:rPr>
        <w:footnoteReference w:id="34"/>
      </w:r>
    </w:p>
    <w:p w14:paraId="65FB888B">
      <w:pPr>
        <w:rPr>
          <w:rFonts w:ascii="Times New Roman" w:hAnsi="Times New Roman" w:cs="Times New Roman"/>
          <w:sz w:val="24"/>
          <w:szCs w:val="24"/>
          <w:lang w:val="sv-SE"/>
        </w:rPr>
      </w:pPr>
      <w:r>
        <w:rPr>
          <w:rFonts w:ascii="Times New Roman" w:hAnsi="Times New Roman" w:cs="Times New Roman"/>
          <w:sz w:val="24"/>
          <w:szCs w:val="24"/>
          <w:lang w:val="sv-SE"/>
        </w:rPr>
        <w:t>• Urdhërat e mbrojtjes: Sigurimi i menjëhershëm i viktimës.</w:t>
      </w:r>
      <w:r>
        <w:rPr>
          <w:rFonts w:ascii="Times New Roman" w:hAnsi="Times New Roman" w:cs="Times New Roman"/>
          <w:sz w:val="24"/>
          <w:szCs w:val="24"/>
          <w:lang w:val="sv-SE"/>
        </w:rPr>
        <w:br w:type="textWrapping"/>
      </w:r>
      <w:r>
        <w:rPr>
          <w:rFonts w:ascii="Times New Roman" w:hAnsi="Times New Roman" w:cs="Times New Roman"/>
          <w:sz w:val="24"/>
          <w:szCs w:val="24"/>
          <w:lang w:val="sv-SE"/>
        </w:rPr>
        <w:t>• Kompensimi: E drejta e viktimës për të marrë dëmshpërblim për shpenzimet mjekësore, humbjen e punës dhe dëmin moral.</w:t>
      </w:r>
      <w:r>
        <w:rPr>
          <w:rFonts w:ascii="Times New Roman" w:hAnsi="Times New Roman" w:cs="Times New Roman"/>
          <w:sz w:val="24"/>
          <w:szCs w:val="24"/>
          <w:lang w:val="sv-SE"/>
        </w:rPr>
        <w:br w:type="textWrapping"/>
      </w:r>
      <w:r>
        <w:rPr>
          <w:rFonts w:ascii="Times New Roman" w:hAnsi="Times New Roman" w:cs="Times New Roman"/>
          <w:sz w:val="24"/>
          <w:szCs w:val="24"/>
          <w:lang w:val="sv-SE"/>
        </w:rPr>
        <w:t>• Shërbimet mbështetëse: Krijimi i strehimoreve dhe linjave telefonike emergjente.</w:t>
      </w:r>
    </w:p>
    <w:p w14:paraId="7DB22A6A">
      <w:pPr>
        <w:rPr>
          <w:rFonts w:ascii="Times New Roman" w:hAnsi="Times New Roman" w:cs="Times New Roman"/>
          <w:sz w:val="24"/>
          <w:szCs w:val="24"/>
          <w:lang w:val="sv-SE"/>
        </w:rPr>
      </w:pPr>
      <w:r>
        <w:rPr>
          <w:rFonts w:ascii="Times New Roman" w:hAnsi="Times New Roman" w:cs="Times New Roman"/>
          <w:sz w:val="24"/>
          <w:szCs w:val="24"/>
          <w:lang w:val="sv-SE"/>
        </w:rPr>
        <w:t>Pa viktimologjinë, sistemi i drejtësisë do të shihte vetëm thyerjen e ligjit. Me viktimologjinë, sistemi sheh njeriun që vuan dhe përpiqet të rindërtojë jetën e tij, jo vetëm të ndëshkojë fajtorin.</w:t>
      </w:r>
      <w:r>
        <w:rPr>
          <w:rStyle w:val="11"/>
          <w:rFonts w:ascii="Times New Roman" w:hAnsi="Times New Roman" w:cs="Times New Roman"/>
          <w:sz w:val="24"/>
          <w:szCs w:val="24"/>
          <w:lang w:val="sv-SE"/>
        </w:rPr>
        <w:footnoteReference w:id="35"/>
      </w:r>
    </w:p>
    <w:p w14:paraId="463A7CF8">
      <w:pPr>
        <w:jc w:val="center"/>
        <w:rPr>
          <w:rFonts w:ascii="Times New Roman" w:hAnsi="Times New Roman" w:cs="Times New Roman"/>
          <w:sz w:val="28"/>
          <w:szCs w:val="28"/>
          <w:lang w:val="sv-SE"/>
        </w:rPr>
      </w:pPr>
    </w:p>
    <w:p w14:paraId="326CB53F">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ROLI I INSTITUCIONEVE DHE SFIDAT E PARANDALIMIT</w:t>
      </w:r>
    </w:p>
    <w:p w14:paraId="7A3C0D60">
      <w:pPr>
        <w:jc w:val="center"/>
        <w:rPr>
          <w:rFonts w:ascii="Times New Roman" w:hAnsi="Times New Roman" w:cs="Times New Roman"/>
          <w:b/>
          <w:bCs/>
          <w:sz w:val="28"/>
          <w:szCs w:val="28"/>
          <w:lang w:val="sv-SE"/>
        </w:rPr>
      </w:pPr>
    </w:p>
    <w:p w14:paraId="0F720822">
      <w:pPr>
        <w:rPr>
          <w:rFonts w:ascii="Times New Roman" w:hAnsi="Times New Roman" w:cs="Times New Roman"/>
          <w:sz w:val="24"/>
          <w:szCs w:val="24"/>
          <w:lang w:val="sv-SE"/>
        </w:rPr>
      </w:pPr>
      <w:r>
        <w:rPr>
          <w:rFonts w:ascii="Times New Roman" w:hAnsi="Times New Roman" w:cs="Times New Roman"/>
          <w:sz w:val="24"/>
          <w:szCs w:val="24"/>
          <w:lang w:val="sv-SE"/>
        </w:rPr>
        <w:t>Përballja me dhunën në familje gjatë viteve 2024-2025 ka vendosur institucionet përballë një presioni të madh për të kaluar nga reagimi pasiv (pasi ndodh krimi) në parandalim aktiv.</w:t>
      </w:r>
      <w:r>
        <w:rPr>
          <w:rStyle w:val="11"/>
          <w:rFonts w:ascii="Times New Roman" w:hAnsi="Times New Roman" w:cs="Times New Roman"/>
          <w:sz w:val="24"/>
          <w:szCs w:val="24"/>
          <w:lang w:val="sv-SE"/>
        </w:rPr>
        <w:footnoteReference w:id="36"/>
      </w:r>
    </w:p>
    <w:p w14:paraId="24AEB674">
      <w:pPr>
        <w:rPr>
          <w:rFonts w:ascii="Times New Roman" w:hAnsi="Times New Roman" w:cs="Times New Roman"/>
          <w:sz w:val="24"/>
          <w:szCs w:val="24"/>
          <w:lang w:val="sv-SE"/>
        </w:rPr>
      </w:pPr>
      <w:r>
        <w:rPr>
          <w:rFonts w:ascii="Times New Roman" w:hAnsi="Times New Roman" w:cs="Times New Roman"/>
          <w:sz w:val="24"/>
          <w:szCs w:val="24"/>
          <w:lang w:val="sv-SE"/>
        </w:rPr>
        <w:t>Më poshtë është një analizë e rolit të aktorëve kryesorë dhe pengesave që po vështirësojnë eliminimin e këtij fenomeni:</w:t>
      </w:r>
    </w:p>
    <w:p w14:paraId="5D9A3929">
      <w:pPr>
        <w:rPr>
          <w:rFonts w:ascii="Times New Roman" w:hAnsi="Times New Roman" w:cs="Times New Roman"/>
          <w:sz w:val="24"/>
          <w:szCs w:val="24"/>
          <w:lang w:val="sv-SE"/>
        </w:rPr>
      </w:pPr>
      <w:r>
        <w:rPr>
          <w:rFonts w:ascii="Times New Roman" w:hAnsi="Times New Roman" w:cs="Times New Roman"/>
          <w:sz w:val="24"/>
          <w:szCs w:val="24"/>
          <w:lang w:val="sv-SE"/>
        </w:rPr>
        <w:t>• Policia e Shtetit të Kosovës: Është hallka e parë e kontaktit. Roli i tyre është vlerësimi i menjëhershëm i rrezikut dhe largimi i dhunuesit. Risia e vitit 2024 është trajnimi i njësive të specializuara për trajtimin me ndjeshmëri të viktimave.</w:t>
      </w:r>
      <w:r>
        <w:rPr>
          <w:rStyle w:val="11"/>
          <w:rFonts w:ascii="Times New Roman" w:hAnsi="Times New Roman" w:cs="Times New Roman"/>
          <w:sz w:val="24"/>
          <w:szCs w:val="24"/>
          <w:lang w:val="sv-SE"/>
        </w:rPr>
        <w:footnoteReference w:id="37"/>
      </w:r>
    </w:p>
    <w:p w14:paraId="008FBC81">
      <w:pPr>
        <w:rPr>
          <w:rFonts w:ascii="Times New Roman" w:hAnsi="Times New Roman" w:cs="Times New Roman"/>
          <w:sz w:val="24"/>
          <w:szCs w:val="24"/>
          <w:lang w:val="sv-SE"/>
        </w:rPr>
      </w:pPr>
      <w:r>
        <w:rPr>
          <w:rFonts w:ascii="Times New Roman" w:hAnsi="Times New Roman" w:cs="Times New Roman"/>
          <w:sz w:val="24"/>
          <w:szCs w:val="24"/>
          <w:lang w:val="sv-SE"/>
        </w:rPr>
        <w:t>• Gjykatat dhe Prokuroria: Kanë fuqinë për të lëshuar Urdhra Mbrojtjeje dhe për të caktuar masa dënimi. Gjatë vitit 2024, fokusi është zhvendosur te ndjekja penale edhe kur viktima tërheq denoncimin (për shkak të presionit familjar).</w:t>
      </w:r>
      <w:r>
        <w:rPr>
          <w:rStyle w:val="11"/>
          <w:rFonts w:ascii="Times New Roman" w:hAnsi="Times New Roman" w:cs="Times New Roman"/>
          <w:sz w:val="24"/>
          <w:szCs w:val="24"/>
          <w:lang w:val="sv-SE"/>
        </w:rPr>
        <w:footnoteReference w:id="38"/>
      </w:r>
    </w:p>
    <w:p w14:paraId="253F55D7">
      <w:pPr>
        <w:rPr>
          <w:rFonts w:ascii="Times New Roman" w:hAnsi="Times New Roman" w:cs="Times New Roman"/>
          <w:sz w:val="24"/>
          <w:szCs w:val="24"/>
          <w:lang w:val="sv-SE"/>
        </w:rPr>
      </w:pPr>
      <w:r>
        <w:rPr>
          <w:rFonts w:ascii="Times New Roman" w:hAnsi="Times New Roman" w:cs="Times New Roman"/>
          <w:sz w:val="24"/>
          <w:szCs w:val="24"/>
          <w:lang w:val="sv-SE"/>
        </w:rPr>
        <w:t>• Mbrojtësit e Viktimave (Zyra e Prokurorit): Ofrojnë këshillim ligjor falas dhe shoqërim gjatë gjithë procesit gjyqësor.</w:t>
      </w:r>
      <w:r>
        <w:rPr>
          <w:rStyle w:val="11"/>
          <w:rFonts w:ascii="Times New Roman" w:hAnsi="Times New Roman" w:cs="Times New Roman"/>
          <w:sz w:val="24"/>
          <w:szCs w:val="24"/>
          <w:lang w:val="sv-SE"/>
        </w:rPr>
        <w:footnoteReference w:id="39"/>
      </w:r>
    </w:p>
    <w:p w14:paraId="09CCDCB2">
      <w:pPr>
        <w:rPr>
          <w:rFonts w:ascii="Times New Roman" w:hAnsi="Times New Roman" w:cs="Times New Roman"/>
          <w:sz w:val="24"/>
          <w:szCs w:val="24"/>
          <w:lang w:val="sv-SE"/>
        </w:rPr>
      </w:pPr>
      <w:r>
        <w:rPr>
          <w:rFonts w:ascii="Times New Roman" w:hAnsi="Times New Roman" w:cs="Times New Roman"/>
          <w:sz w:val="24"/>
          <w:szCs w:val="24"/>
          <w:lang w:val="sv-SE"/>
        </w:rPr>
        <w:t>• Qendrat për Punë Sociale (QPS): Luajnë rol kyç në strehimin e viktimave dhe rehabilitimin e fëmijëve që janë dëshmitarë të dhunës.</w:t>
      </w:r>
      <w:r>
        <w:rPr>
          <w:rStyle w:val="11"/>
          <w:rFonts w:ascii="Times New Roman" w:hAnsi="Times New Roman" w:cs="Times New Roman"/>
          <w:sz w:val="24"/>
          <w:szCs w:val="24"/>
          <w:lang w:val="sv-SE"/>
        </w:rPr>
        <w:footnoteReference w:id="40"/>
      </w:r>
    </w:p>
    <w:p w14:paraId="1CA79425">
      <w:pPr>
        <w:rPr>
          <w:rFonts w:ascii="Times New Roman" w:hAnsi="Times New Roman" w:cs="Times New Roman"/>
          <w:sz w:val="24"/>
          <w:szCs w:val="24"/>
          <w:lang w:val="sv-SE"/>
        </w:rPr>
      </w:pPr>
      <w:r>
        <w:rPr>
          <w:rFonts w:ascii="Times New Roman" w:hAnsi="Times New Roman" w:cs="Times New Roman"/>
          <w:sz w:val="24"/>
          <w:szCs w:val="24"/>
          <w:lang w:val="sv-SE"/>
        </w:rPr>
        <w:br w:type="page"/>
      </w:r>
    </w:p>
    <w:p w14:paraId="1114A540">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SFIDAT KRYESORE NË PARANDALIM</w:t>
      </w:r>
    </w:p>
    <w:p w14:paraId="1923CB5B">
      <w:pPr>
        <w:jc w:val="center"/>
        <w:rPr>
          <w:rFonts w:ascii="Times New Roman" w:hAnsi="Times New Roman" w:cs="Times New Roman"/>
          <w:b/>
          <w:bCs/>
          <w:sz w:val="28"/>
          <w:szCs w:val="28"/>
          <w:lang w:val="sv-SE"/>
        </w:rPr>
      </w:pPr>
    </w:p>
    <w:p w14:paraId="60142F96">
      <w:pPr>
        <w:rPr>
          <w:rFonts w:ascii="Times New Roman" w:hAnsi="Times New Roman" w:cs="Times New Roman"/>
          <w:sz w:val="24"/>
          <w:szCs w:val="24"/>
          <w:lang w:val="sv-SE"/>
        </w:rPr>
      </w:pPr>
      <w:r>
        <w:rPr>
          <w:rFonts w:ascii="Times New Roman" w:hAnsi="Times New Roman" w:cs="Times New Roman"/>
          <w:sz w:val="24"/>
          <w:szCs w:val="24"/>
          <w:lang w:val="sv-SE"/>
        </w:rPr>
        <w:t>Pavarësisht kornizës ligjore të mirë (bazuar në Konventën e Stambollit), parandalimi po has në këto sfida kritike gjatë 2024-2025:</w:t>
      </w:r>
      <w:r>
        <w:rPr>
          <w:rStyle w:val="11"/>
          <w:rFonts w:ascii="Times New Roman" w:hAnsi="Times New Roman" w:cs="Times New Roman"/>
          <w:sz w:val="24"/>
          <w:szCs w:val="24"/>
          <w:lang w:val="sv-SE"/>
        </w:rPr>
        <w:footnoteReference w:id="41"/>
      </w:r>
    </w:p>
    <w:p w14:paraId="01727532">
      <w:pPr>
        <w:numPr>
          <w:ilvl w:val="0"/>
          <w:numId w:val="2"/>
        </w:numPr>
        <w:rPr>
          <w:rFonts w:ascii="Times New Roman" w:hAnsi="Times New Roman" w:cs="Times New Roman"/>
          <w:sz w:val="24"/>
          <w:szCs w:val="24"/>
          <w:lang w:val="sv-SE"/>
        </w:rPr>
      </w:pPr>
      <w:r>
        <w:rPr>
          <w:rFonts w:ascii="Times New Roman" w:hAnsi="Times New Roman" w:cs="Times New Roman"/>
          <w:sz w:val="24"/>
          <w:szCs w:val="24"/>
          <w:lang w:val="sv-SE"/>
        </w:rPr>
        <w:t>Sfidat Gjyqësore (Dënimet e Ulëta): Një sfidë e vazhdueshme është shqiptimi i dënimeve "nën minimumin ligjor". Kur dhunuesi dënohet me kusht ose me gjobë, ai shpesh kthehet në shtëpi më i agresiv, gjë që dekurajon viktimat për të raportuar përsëri.</w:t>
      </w:r>
      <w:bookmarkStart w:id="1" w:name="_Ref218779727"/>
      <w:r>
        <w:rPr>
          <w:rStyle w:val="11"/>
          <w:rFonts w:ascii="Times New Roman" w:hAnsi="Times New Roman" w:cs="Times New Roman"/>
          <w:sz w:val="24"/>
          <w:szCs w:val="24"/>
          <w:lang w:val="sv-SE"/>
        </w:rPr>
        <w:footnoteReference w:id="42"/>
      </w:r>
      <w:bookmarkEnd w:id="1"/>
    </w:p>
    <w:p w14:paraId="1F06C1A1">
      <w:pPr>
        <w:numPr>
          <w:ilvl w:val="0"/>
          <w:numId w:val="2"/>
        </w:numPr>
        <w:rPr>
          <w:rFonts w:ascii="Times New Roman" w:hAnsi="Times New Roman" w:cs="Times New Roman"/>
          <w:sz w:val="24"/>
          <w:szCs w:val="24"/>
          <w:lang w:val="sv-SE"/>
        </w:rPr>
      </w:pPr>
      <w:r>
        <w:rPr>
          <w:rFonts w:ascii="Times New Roman" w:hAnsi="Times New Roman" w:cs="Times New Roman"/>
          <w:sz w:val="24"/>
          <w:szCs w:val="24"/>
          <w:lang w:val="sv-SE"/>
        </w:rPr>
        <w:t>Mungesa e Mbështetjes Ekonomike: Shumë gra kthehen te dhunuesi sepse nuk kanë pavarësi financiare. Institucionet ende nuk ofrojnë paketa të mjaftueshme punësimi ose banimi social afatgjatë pas largimit nga strehimoret.</w:t>
      </w:r>
      <w:r>
        <w:rPr>
          <w:rStyle w:val="11"/>
          <w:rFonts w:ascii="Times New Roman" w:hAnsi="Times New Roman" w:cs="Times New Roman"/>
          <w:sz w:val="24"/>
          <w:szCs w:val="24"/>
          <w:lang w:val="sv-SE"/>
        </w:rPr>
        <w:t xml:space="preserve"> </w:t>
      </w:r>
      <w:r>
        <w:rPr>
          <w:rFonts w:ascii="Times New Roman" w:hAnsi="Times New Roman" w:cs="Times New Roman"/>
          <w:sz w:val="24"/>
          <w:szCs w:val="24"/>
          <w:lang w:val="sv-SE"/>
        </w:rPr>
        <w:fldChar w:fldCharType="begin"/>
      </w:r>
      <w:r>
        <w:rPr>
          <w:rStyle w:val="11"/>
          <w:rFonts w:ascii="Times New Roman" w:hAnsi="Times New Roman" w:cs="Times New Roman"/>
          <w:sz w:val="24"/>
          <w:szCs w:val="24"/>
          <w:lang w:val="sv-SE"/>
        </w:rPr>
        <w:instrText xml:space="preserve"> NOTEREF _Ref218779727 \h </w:instrText>
      </w:r>
      <w:r>
        <w:rPr>
          <w:rFonts w:ascii="Times New Roman" w:hAnsi="Times New Roman" w:cs="Times New Roman"/>
          <w:sz w:val="24"/>
          <w:szCs w:val="24"/>
          <w:lang w:val="sv-SE"/>
        </w:rPr>
        <w:fldChar w:fldCharType="separate"/>
      </w:r>
      <w:r>
        <w:rPr>
          <w:rStyle w:val="11"/>
          <w:rFonts w:ascii="Times New Roman" w:hAnsi="Times New Roman" w:cs="Times New Roman"/>
          <w:sz w:val="24"/>
          <w:szCs w:val="24"/>
          <w:lang w:val="sv-SE"/>
        </w:rPr>
        <w:t>43</w:t>
      </w:r>
      <w:r>
        <w:rPr>
          <w:rFonts w:ascii="Times New Roman" w:hAnsi="Times New Roman" w:cs="Times New Roman"/>
          <w:sz w:val="24"/>
          <w:szCs w:val="24"/>
          <w:lang w:val="sv-SE"/>
        </w:rPr>
        <w:fldChar w:fldCharType="end"/>
      </w:r>
    </w:p>
    <w:p w14:paraId="613EF562">
      <w:pPr>
        <w:numPr>
          <w:ilvl w:val="0"/>
          <w:numId w:val="2"/>
        </w:numPr>
        <w:rPr>
          <w:rFonts w:ascii="Times New Roman" w:hAnsi="Times New Roman" w:cs="Times New Roman"/>
          <w:sz w:val="24"/>
          <w:szCs w:val="24"/>
          <w:lang w:val="sv-SE"/>
        </w:rPr>
      </w:pPr>
      <w:r>
        <w:rPr>
          <w:rFonts w:ascii="Times New Roman" w:hAnsi="Times New Roman" w:cs="Times New Roman"/>
          <w:sz w:val="24"/>
          <w:szCs w:val="24"/>
          <w:lang w:val="sv-SE"/>
        </w:rPr>
        <w:t>Monitorimi i Urdhrave të Mbrojtjes: Për herë të parë në vitin 2024, filloi implementimi i hallkave elektronike (GPS). Megjithatë, sfida mbetet numri i kufizuar i këtyre pajisjeve dhe vonesat teknike në monitorimin e lëvizjeve të dhunuesit në kohë reale.</w:t>
      </w:r>
      <w:r>
        <w:rPr>
          <w:rFonts w:ascii="Times New Roman" w:hAnsi="Times New Roman" w:cs="Times New Roman"/>
          <w:sz w:val="24"/>
          <w:szCs w:val="24"/>
          <w:lang w:val="sv-SE"/>
        </w:rPr>
        <w:fldChar w:fldCharType="begin"/>
      </w:r>
      <w:r>
        <w:rPr>
          <w:rFonts w:ascii="Times New Roman" w:hAnsi="Times New Roman" w:cs="Times New Roman"/>
          <w:sz w:val="24"/>
          <w:szCs w:val="24"/>
          <w:lang w:val="sv-SE"/>
        </w:rPr>
        <w:instrText xml:space="preserve"> NOTEREF _Ref218779727 \f \h </w:instrText>
      </w:r>
      <w:r>
        <w:rPr>
          <w:rFonts w:ascii="Times New Roman" w:hAnsi="Times New Roman" w:cs="Times New Roman"/>
          <w:sz w:val="24"/>
          <w:szCs w:val="24"/>
          <w:lang w:val="sv-SE"/>
        </w:rPr>
        <w:fldChar w:fldCharType="separate"/>
      </w:r>
      <w:r>
        <w:rPr>
          <w:rStyle w:val="11"/>
          <w:lang w:val="sv-SE"/>
        </w:rPr>
        <w:t>43</w:t>
      </w:r>
      <w:r>
        <w:rPr>
          <w:rFonts w:ascii="Times New Roman" w:hAnsi="Times New Roman" w:cs="Times New Roman"/>
          <w:sz w:val="24"/>
          <w:szCs w:val="24"/>
          <w:lang w:val="sv-SE"/>
        </w:rPr>
        <w:fldChar w:fldCharType="end"/>
      </w:r>
      <w:r>
        <w:rPr>
          <w:rFonts w:ascii="Times New Roman" w:hAnsi="Times New Roman" w:cs="Times New Roman"/>
          <w:sz w:val="24"/>
          <w:szCs w:val="24"/>
          <w:lang w:val="sv-SE"/>
        </w:rPr>
        <w:t xml:space="preserve"> </w:t>
      </w:r>
    </w:p>
    <w:p w14:paraId="4758A946">
      <w:pPr>
        <w:numPr>
          <w:ilvl w:val="0"/>
          <w:numId w:val="2"/>
        </w:numPr>
        <w:rPr>
          <w:rFonts w:ascii="Times New Roman" w:hAnsi="Times New Roman" w:cs="Times New Roman"/>
          <w:sz w:val="24"/>
          <w:szCs w:val="24"/>
          <w:lang w:val="sv-SE"/>
        </w:rPr>
      </w:pPr>
      <w:r>
        <w:rPr>
          <w:rFonts w:ascii="Times New Roman" w:hAnsi="Times New Roman" w:cs="Times New Roman"/>
          <w:sz w:val="24"/>
          <w:szCs w:val="24"/>
          <w:lang w:val="sv-SE"/>
        </w:rPr>
        <w:t>Stigmatizimi Shoqëror: Në shumë zona rurale, dhuna ende shihet si "çështje private". Institucionet e kanë të vështirë të depërtojnë në raste ku familja dhe rrethi ushtrojnë presion mbi viktimën për të heshtur për hir të "nderit" ose fëmijëve.</w:t>
      </w:r>
      <w:r>
        <w:rPr>
          <w:rFonts w:ascii="Times New Roman" w:hAnsi="Times New Roman" w:cs="Times New Roman"/>
          <w:sz w:val="24"/>
          <w:szCs w:val="24"/>
          <w:lang w:val="sv-SE"/>
        </w:rPr>
        <w:fldChar w:fldCharType="begin"/>
      </w:r>
      <w:r>
        <w:rPr>
          <w:rFonts w:ascii="Times New Roman" w:hAnsi="Times New Roman" w:cs="Times New Roman"/>
          <w:sz w:val="24"/>
          <w:szCs w:val="24"/>
          <w:lang w:val="sv-SE"/>
        </w:rPr>
        <w:instrText xml:space="preserve"> NOTEREF _Ref218779727 \f \h </w:instrText>
      </w:r>
      <w:r>
        <w:rPr>
          <w:rFonts w:ascii="Times New Roman" w:hAnsi="Times New Roman" w:cs="Times New Roman"/>
          <w:sz w:val="24"/>
          <w:szCs w:val="24"/>
          <w:lang w:val="sv-SE"/>
        </w:rPr>
        <w:fldChar w:fldCharType="separate"/>
      </w:r>
      <w:r>
        <w:rPr>
          <w:rStyle w:val="11"/>
          <w:lang w:val="sv-SE"/>
        </w:rPr>
        <w:t>43</w:t>
      </w:r>
      <w:r>
        <w:rPr>
          <w:rFonts w:ascii="Times New Roman" w:hAnsi="Times New Roman" w:cs="Times New Roman"/>
          <w:sz w:val="24"/>
          <w:szCs w:val="24"/>
          <w:lang w:val="sv-SE"/>
        </w:rPr>
        <w:fldChar w:fldCharType="end"/>
      </w:r>
    </w:p>
    <w:p w14:paraId="2F62BD8B">
      <w:pPr>
        <w:numPr>
          <w:ilvl w:val="0"/>
          <w:numId w:val="2"/>
        </w:numPr>
        <w:rPr>
          <w:rFonts w:ascii="Times New Roman" w:hAnsi="Times New Roman" w:cs="Times New Roman"/>
          <w:sz w:val="24"/>
          <w:szCs w:val="24"/>
          <w:lang w:val="sv-SE"/>
        </w:rPr>
      </w:pPr>
      <w:r>
        <w:rPr>
          <w:rFonts w:ascii="Times New Roman" w:hAnsi="Times New Roman" w:cs="Times New Roman"/>
          <w:sz w:val="24"/>
          <w:szCs w:val="24"/>
          <w:lang w:val="sv-SE"/>
        </w:rPr>
        <w:t>Rehabilitimi i Dhunuesve: Parandalimi dështon nëse trajtohet vetëm viktima. Aktualisht, ka shumë pak programe të detyrueshme për trajtimin psikologjik të dhunuesve (për menaxhimin e zemërimit ose varësinë nga substancat).</w:t>
      </w:r>
      <w:r>
        <w:rPr>
          <w:rFonts w:ascii="Times New Roman" w:hAnsi="Times New Roman" w:cs="Times New Roman"/>
          <w:sz w:val="24"/>
          <w:szCs w:val="24"/>
          <w:lang w:val="sv-SE"/>
        </w:rPr>
        <w:fldChar w:fldCharType="begin"/>
      </w:r>
      <w:r>
        <w:rPr>
          <w:rFonts w:ascii="Times New Roman" w:hAnsi="Times New Roman" w:cs="Times New Roman"/>
          <w:sz w:val="24"/>
          <w:szCs w:val="24"/>
          <w:lang w:val="sv-SE"/>
        </w:rPr>
        <w:instrText xml:space="preserve"> NOTEREF _Ref218779727 \f \h </w:instrText>
      </w:r>
      <w:r>
        <w:rPr>
          <w:rFonts w:ascii="Times New Roman" w:hAnsi="Times New Roman" w:cs="Times New Roman"/>
          <w:sz w:val="24"/>
          <w:szCs w:val="24"/>
          <w:lang w:val="sv-SE"/>
        </w:rPr>
        <w:fldChar w:fldCharType="separate"/>
      </w:r>
      <w:r>
        <w:rPr>
          <w:rStyle w:val="11"/>
          <w:lang w:val="sv-SE"/>
        </w:rPr>
        <w:t>43</w:t>
      </w:r>
      <w:r>
        <w:rPr>
          <w:rFonts w:ascii="Times New Roman" w:hAnsi="Times New Roman" w:cs="Times New Roman"/>
          <w:sz w:val="24"/>
          <w:szCs w:val="24"/>
          <w:lang w:val="sv-SE"/>
        </w:rPr>
        <w:fldChar w:fldCharType="end"/>
      </w:r>
    </w:p>
    <w:p w14:paraId="5C264FD0">
      <w:pPr>
        <w:rPr>
          <w:rFonts w:ascii="Times New Roman" w:hAnsi="Times New Roman" w:cs="Times New Roman"/>
          <w:sz w:val="24"/>
          <w:szCs w:val="24"/>
          <w:lang w:val="sv-SE"/>
        </w:rPr>
      </w:pPr>
    </w:p>
    <w:p w14:paraId="1AA3B198">
      <w:pPr>
        <w:jc w:val="center"/>
        <w:rPr>
          <w:rFonts w:ascii="Times New Roman" w:hAnsi="Times New Roman" w:cs="Times New Roman"/>
          <w:b/>
          <w:bCs/>
          <w:sz w:val="24"/>
          <w:szCs w:val="24"/>
          <w:lang w:val="sv-SE"/>
        </w:rPr>
      </w:pPr>
    </w:p>
    <w:p w14:paraId="127B99BF">
      <w:pPr>
        <w:jc w:val="center"/>
        <w:rPr>
          <w:rFonts w:ascii="Times New Roman" w:hAnsi="Times New Roman" w:cs="Times New Roman"/>
          <w:b/>
          <w:bCs/>
          <w:sz w:val="24"/>
          <w:szCs w:val="24"/>
          <w:lang w:val="sv-SE"/>
        </w:rPr>
      </w:pPr>
    </w:p>
    <w:p w14:paraId="07FD7CB3">
      <w:pPr>
        <w:jc w:val="center"/>
        <w:rPr>
          <w:rFonts w:ascii="Times New Roman" w:hAnsi="Times New Roman" w:cs="Times New Roman"/>
          <w:b/>
          <w:bCs/>
          <w:sz w:val="24"/>
          <w:szCs w:val="24"/>
          <w:lang w:val="sv-SE"/>
        </w:rPr>
      </w:pPr>
    </w:p>
    <w:p w14:paraId="4417BA5D">
      <w:pPr>
        <w:jc w:val="center"/>
        <w:rPr>
          <w:rFonts w:ascii="Times New Roman" w:hAnsi="Times New Roman" w:cs="Times New Roman"/>
          <w:b/>
          <w:bCs/>
          <w:sz w:val="24"/>
          <w:szCs w:val="24"/>
          <w:lang w:val="sv-SE"/>
        </w:rPr>
      </w:pPr>
    </w:p>
    <w:p w14:paraId="2F8910B6">
      <w:pPr>
        <w:jc w:val="center"/>
        <w:rPr>
          <w:rFonts w:ascii="Times New Roman" w:hAnsi="Times New Roman" w:cs="Times New Roman"/>
          <w:b/>
          <w:bCs/>
          <w:sz w:val="24"/>
          <w:szCs w:val="24"/>
          <w:lang w:val="sv-SE"/>
        </w:rPr>
      </w:pPr>
    </w:p>
    <w:p w14:paraId="5E8D758A">
      <w:pPr>
        <w:jc w:val="center"/>
        <w:rPr>
          <w:rFonts w:ascii="Times New Roman" w:hAnsi="Times New Roman" w:cs="Times New Roman"/>
          <w:b/>
          <w:bCs/>
          <w:sz w:val="24"/>
          <w:szCs w:val="24"/>
          <w:lang w:val="sv-SE"/>
        </w:rPr>
      </w:pPr>
    </w:p>
    <w:p w14:paraId="6A93AAD4">
      <w:pPr>
        <w:jc w:val="center"/>
        <w:rPr>
          <w:rFonts w:ascii="Times New Roman" w:hAnsi="Times New Roman" w:cs="Times New Roman"/>
          <w:b/>
          <w:bCs/>
          <w:sz w:val="24"/>
          <w:szCs w:val="24"/>
          <w:lang w:val="sv-SE"/>
        </w:rPr>
      </w:pPr>
    </w:p>
    <w:p w14:paraId="27FDC189">
      <w:pPr>
        <w:jc w:val="center"/>
        <w:rPr>
          <w:rFonts w:ascii="Times New Roman" w:hAnsi="Times New Roman" w:cs="Times New Roman"/>
          <w:b/>
          <w:bCs/>
          <w:sz w:val="24"/>
          <w:szCs w:val="24"/>
          <w:lang w:val="sv-SE"/>
        </w:rPr>
      </w:pPr>
    </w:p>
    <w:p w14:paraId="240B5EE3">
      <w:pPr>
        <w:jc w:val="center"/>
        <w:rPr>
          <w:rFonts w:ascii="Times New Roman" w:hAnsi="Times New Roman" w:cs="Times New Roman"/>
          <w:b/>
          <w:bCs/>
          <w:sz w:val="24"/>
          <w:szCs w:val="24"/>
          <w:lang w:val="sv-SE"/>
        </w:rPr>
      </w:pPr>
    </w:p>
    <w:p w14:paraId="3DA63839">
      <w:pPr>
        <w:jc w:val="center"/>
        <w:rPr>
          <w:rFonts w:ascii="Times New Roman" w:hAnsi="Times New Roman" w:cs="Times New Roman"/>
          <w:b/>
          <w:bCs/>
          <w:sz w:val="24"/>
          <w:szCs w:val="24"/>
          <w:lang w:val="sv-SE"/>
        </w:rPr>
      </w:pPr>
    </w:p>
    <w:p w14:paraId="0587D950">
      <w:pPr>
        <w:jc w:val="center"/>
        <w:rPr>
          <w:rFonts w:ascii="Times New Roman" w:hAnsi="Times New Roman" w:cs="Times New Roman"/>
          <w:b/>
          <w:bCs/>
          <w:sz w:val="24"/>
          <w:szCs w:val="24"/>
          <w:lang w:val="sv-SE"/>
        </w:rPr>
      </w:pPr>
    </w:p>
    <w:p w14:paraId="24FB691F">
      <w:pPr>
        <w:jc w:val="center"/>
        <w:rPr>
          <w:rFonts w:ascii="Times New Roman" w:hAnsi="Times New Roman" w:cs="Times New Roman"/>
          <w:b/>
          <w:bCs/>
          <w:sz w:val="24"/>
          <w:szCs w:val="24"/>
          <w:lang w:val="sv-SE"/>
        </w:rPr>
      </w:pPr>
    </w:p>
    <w:p w14:paraId="017EC12E">
      <w:pPr>
        <w:jc w:val="center"/>
        <w:rPr>
          <w:rFonts w:ascii="Times New Roman" w:hAnsi="Times New Roman" w:cs="Times New Roman"/>
          <w:b/>
          <w:bCs/>
          <w:sz w:val="24"/>
          <w:szCs w:val="24"/>
          <w:lang w:val="sv-SE"/>
        </w:rPr>
      </w:pPr>
    </w:p>
    <w:p w14:paraId="44D0C969">
      <w:pPr>
        <w:jc w:val="center"/>
        <w:rPr>
          <w:rFonts w:ascii="Times New Roman" w:hAnsi="Times New Roman" w:cs="Times New Roman"/>
          <w:b/>
          <w:bCs/>
          <w:sz w:val="28"/>
          <w:szCs w:val="28"/>
          <w:lang w:val="sv-SE"/>
        </w:rPr>
      </w:pPr>
      <w:r>
        <w:rPr>
          <w:rFonts w:ascii="Times New Roman" w:hAnsi="Times New Roman" w:cs="Times New Roman"/>
          <w:b/>
          <w:bCs/>
          <w:sz w:val="28"/>
          <w:szCs w:val="28"/>
          <w:lang w:val="sv-SE"/>
        </w:rPr>
        <w:t>MASA PROAKTIVE (VITI 2025)</w:t>
      </w:r>
    </w:p>
    <w:p w14:paraId="15FB5B96">
      <w:pPr>
        <w:rPr>
          <w:rFonts w:ascii="Times New Roman" w:hAnsi="Times New Roman" w:cs="Times New Roman"/>
          <w:b/>
          <w:bCs/>
          <w:sz w:val="24"/>
          <w:szCs w:val="24"/>
          <w:lang w:val="sv-SE"/>
        </w:rPr>
      </w:pPr>
    </w:p>
    <w:p w14:paraId="18CB9BBC">
      <w:pPr>
        <w:rPr>
          <w:rFonts w:ascii="Times New Roman" w:hAnsi="Times New Roman" w:cs="Times New Roman"/>
          <w:sz w:val="24"/>
          <w:szCs w:val="24"/>
          <w:lang w:val="sv-SE"/>
        </w:rPr>
      </w:pPr>
      <w:r>
        <w:rPr>
          <w:rFonts w:ascii="Times New Roman" w:hAnsi="Times New Roman" w:cs="Times New Roman"/>
          <w:sz w:val="24"/>
          <w:szCs w:val="24"/>
          <w:lang w:val="sv-SE"/>
        </w:rPr>
        <w:t>Për të adresuar këto sfida, po synohen disa hapa të rinj nga institucionet përkatëse:</w:t>
      </w:r>
      <w:r>
        <w:rPr>
          <w:rStyle w:val="11"/>
          <w:rFonts w:ascii="Times New Roman" w:hAnsi="Times New Roman" w:cs="Times New Roman"/>
          <w:sz w:val="24"/>
          <w:szCs w:val="24"/>
        </w:rPr>
        <w:footnoteReference w:id="43"/>
      </w:r>
    </w:p>
    <w:p w14:paraId="562245ED">
      <w:pPr>
        <w:rPr>
          <w:rFonts w:ascii="Times New Roman" w:hAnsi="Times New Roman" w:cs="Times New Roman"/>
          <w:sz w:val="24"/>
          <w:szCs w:val="24"/>
          <w:lang w:val="sv-SE"/>
        </w:rPr>
      </w:pPr>
      <w:r>
        <w:rPr>
          <w:rFonts w:ascii="Times New Roman" w:hAnsi="Times New Roman" w:cs="Times New Roman"/>
          <w:sz w:val="24"/>
          <w:szCs w:val="24"/>
          <w:lang w:val="sv-SE"/>
        </w:rPr>
        <w:t xml:space="preserve">• </w:t>
      </w:r>
      <w:r>
        <w:rPr>
          <w:rFonts w:ascii="Times New Roman" w:hAnsi="Times New Roman" w:cs="Times New Roman"/>
          <w:b/>
          <w:bCs/>
          <w:sz w:val="24"/>
          <w:szCs w:val="24"/>
          <w:lang w:val="sv-SE"/>
        </w:rPr>
        <w:t>Digjitalizimi:</w:t>
      </w:r>
      <w:r>
        <w:rPr>
          <w:rFonts w:ascii="Times New Roman" w:hAnsi="Times New Roman" w:cs="Times New Roman"/>
          <w:sz w:val="24"/>
          <w:szCs w:val="24"/>
          <w:lang w:val="sv-SE"/>
        </w:rPr>
        <w:t xml:space="preserve"> Krijimi i bazave të të dhënave të përbashkëta mes Policisë, Gjykatave dhe Qendrave Sociale për të parë historikun e plotë të një dhunuesi menjëherë.</w:t>
      </w:r>
      <w:bookmarkStart w:id="2" w:name="_Ref218779808"/>
      <w:r>
        <w:rPr>
          <w:rStyle w:val="11"/>
          <w:rFonts w:ascii="Times New Roman" w:hAnsi="Times New Roman" w:cs="Times New Roman"/>
          <w:sz w:val="24"/>
          <w:szCs w:val="24"/>
          <w:lang w:val="sv-SE"/>
        </w:rPr>
        <w:footnoteReference w:id="44"/>
      </w:r>
      <w:bookmarkEnd w:id="2"/>
    </w:p>
    <w:p w14:paraId="7BE16BA3">
      <w:pPr>
        <w:rPr>
          <w:rFonts w:ascii="Times New Roman" w:hAnsi="Times New Roman" w:cs="Times New Roman"/>
          <w:sz w:val="24"/>
          <w:szCs w:val="24"/>
          <w:lang w:val="sv-SE"/>
        </w:rPr>
      </w:pPr>
      <w:r>
        <w:rPr>
          <w:rFonts w:ascii="Times New Roman" w:hAnsi="Times New Roman" w:cs="Times New Roman"/>
          <w:sz w:val="24"/>
          <w:szCs w:val="24"/>
          <w:lang w:val="sv-SE"/>
        </w:rPr>
        <w:t xml:space="preserve">• </w:t>
      </w:r>
      <w:r>
        <w:rPr>
          <w:rFonts w:ascii="Times New Roman" w:hAnsi="Times New Roman" w:cs="Times New Roman"/>
          <w:b/>
          <w:bCs/>
          <w:sz w:val="24"/>
          <w:szCs w:val="24"/>
          <w:lang w:val="sv-SE"/>
        </w:rPr>
        <w:t>Edukimi në Shkolla:</w:t>
      </w:r>
      <w:r>
        <w:rPr>
          <w:rFonts w:ascii="Times New Roman" w:hAnsi="Times New Roman" w:cs="Times New Roman"/>
          <w:sz w:val="24"/>
          <w:szCs w:val="24"/>
          <w:lang w:val="sv-SE"/>
        </w:rPr>
        <w:t xml:space="preserve"> Futja e moduleve për respektin gjinor dhe zgjidhjen paqësore të konflikteve që në ciklin fillor.</w:t>
      </w:r>
      <w:r>
        <w:rPr>
          <w:rFonts w:ascii="Times New Roman" w:hAnsi="Times New Roman" w:cs="Times New Roman"/>
          <w:sz w:val="24"/>
          <w:szCs w:val="24"/>
          <w:lang w:val="sv-SE"/>
        </w:rPr>
        <w:fldChar w:fldCharType="begin"/>
      </w:r>
      <w:r>
        <w:rPr>
          <w:rFonts w:ascii="Times New Roman" w:hAnsi="Times New Roman" w:cs="Times New Roman"/>
          <w:sz w:val="24"/>
          <w:szCs w:val="24"/>
          <w:lang w:val="sv-SE"/>
        </w:rPr>
        <w:instrText xml:space="preserve"> NOTEREF _Ref218779808 \f \h </w:instrText>
      </w:r>
      <w:r>
        <w:rPr>
          <w:rFonts w:ascii="Times New Roman" w:hAnsi="Times New Roman" w:cs="Times New Roman"/>
          <w:sz w:val="24"/>
          <w:szCs w:val="24"/>
          <w:lang w:val="sv-SE"/>
        </w:rPr>
        <w:fldChar w:fldCharType="separate"/>
      </w:r>
      <w:r>
        <w:rPr>
          <w:rStyle w:val="11"/>
          <w:lang w:val="sv-SE"/>
        </w:rPr>
        <w:t>45</w:t>
      </w:r>
      <w:r>
        <w:rPr>
          <w:rFonts w:ascii="Times New Roman" w:hAnsi="Times New Roman" w:cs="Times New Roman"/>
          <w:sz w:val="24"/>
          <w:szCs w:val="24"/>
          <w:lang w:val="sv-SE"/>
        </w:rPr>
        <w:fldChar w:fldCharType="end"/>
      </w:r>
    </w:p>
    <w:p w14:paraId="11EB448E">
      <w:pPr>
        <w:rPr>
          <w:rFonts w:ascii="Times New Roman" w:hAnsi="Times New Roman" w:cs="Times New Roman"/>
          <w:sz w:val="24"/>
          <w:szCs w:val="24"/>
        </w:rPr>
      </w:pPr>
      <w:r>
        <w:rPr>
          <w:rFonts w:ascii="Times New Roman" w:hAnsi="Times New Roman" w:cs="Times New Roman"/>
          <w:sz w:val="24"/>
          <w:szCs w:val="24"/>
          <w:lang w:val="sv-SE"/>
        </w:rPr>
        <w:t xml:space="preserve">Dhuna në familje në Kosovë nuk do të zhduket vetëm me ndërhyrjen e policisë. </w:t>
      </w:r>
      <w:r>
        <w:rPr>
          <w:rFonts w:ascii="Times New Roman" w:hAnsi="Times New Roman" w:cs="Times New Roman"/>
          <w:sz w:val="24"/>
          <w:szCs w:val="24"/>
        </w:rPr>
        <w:t>Duhet një "revolucion" në sistemin e edukimit dhe një reformë pronësore që i jep gruas pavarësi. Lufta kundër dhunës kërkon që shoqëria të pushtojë "heshtjen" dhe institucionet të zbatojnë "zero tolerancë".</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NOTEREF _Ref218779808 \f \h </w:instrText>
      </w:r>
      <w:r>
        <w:rPr>
          <w:rFonts w:ascii="Times New Roman" w:hAnsi="Times New Roman" w:cs="Times New Roman"/>
          <w:sz w:val="24"/>
          <w:szCs w:val="24"/>
        </w:rPr>
        <w:fldChar w:fldCharType="separate"/>
      </w:r>
      <w:r>
        <w:rPr>
          <w:rStyle w:val="11"/>
        </w:rPr>
        <w:t>45</w:t>
      </w:r>
      <w:r>
        <w:rPr>
          <w:rFonts w:ascii="Times New Roman" w:hAnsi="Times New Roman" w:cs="Times New Roman"/>
          <w:sz w:val="24"/>
          <w:szCs w:val="24"/>
        </w:rPr>
        <w:fldChar w:fldCharType="end"/>
      </w:r>
    </w:p>
    <w:p w14:paraId="7FB75D18">
      <w:pPr>
        <w:rPr>
          <w:rFonts w:ascii="Times New Roman" w:hAnsi="Times New Roman" w:cs="Times New Roman"/>
          <w:sz w:val="24"/>
          <w:szCs w:val="24"/>
        </w:rPr>
      </w:pPr>
    </w:p>
    <w:p w14:paraId="7251167E">
      <w:pPr>
        <w:rPr>
          <w:rFonts w:ascii="Times New Roman" w:hAnsi="Times New Roman" w:cs="Times New Roman"/>
          <w:sz w:val="24"/>
          <w:szCs w:val="24"/>
        </w:rPr>
      </w:pPr>
    </w:p>
    <w:p w14:paraId="398E3192">
      <w:pPr>
        <w:rPr>
          <w:rFonts w:ascii="Times New Roman" w:hAnsi="Times New Roman" w:cs="Times New Roman"/>
          <w:sz w:val="24"/>
          <w:szCs w:val="24"/>
        </w:rPr>
      </w:pPr>
    </w:p>
    <w:p w14:paraId="09B1A447">
      <w:pPr>
        <w:rPr>
          <w:rFonts w:ascii="Times New Roman" w:hAnsi="Times New Roman" w:cs="Times New Roman"/>
          <w:sz w:val="24"/>
          <w:szCs w:val="24"/>
        </w:rPr>
      </w:pPr>
      <w:r>
        <w:rPr>
          <w:rFonts w:ascii="Times New Roman" w:hAnsi="Times New Roman" w:cs="Times New Roman"/>
          <w:sz w:val="24"/>
          <w:szCs w:val="24"/>
        </w:rPr>
        <w:t>Si përfundim, ky punim argumentoi se dhuna në familje mbetet një nga plagët më të rënda të shoqërisë sonë, duke mos qenë thjesht një 'problem privat', por një krizë e mirëfilltë e shëndetit publik dhe të drejtave të njeriut. Përmes analizës, pamë se varësia ekonomike dhe stigmatizimi social janë shpesh barrierat që i mbajnë viktimat të mbërthyera në cikle abuzive.</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NOTEREF _Ref218779808 \f \h </w:instrText>
      </w:r>
      <w:r>
        <w:rPr>
          <w:rFonts w:ascii="Times New Roman" w:hAnsi="Times New Roman" w:cs="Times New Roman"/>
          <w:sz w:val="24"/>
          <w:szCs w:val="24"/>
        </w:rPr>
        <w:fldChar w:fldCharType="separate"/>
      </w:r>
      <w:r>
        <w:rPr>
          <w:rStyle w:val="11"/>
        </w:rPr>
        <w:t>45</w:t>
      </w:r>
      <w:r>
        <w:rPr>
          <w:rFonts w:ascii="Times New Roman" w:hAnsi="Times New Roman" w:cs="Times New Roman"/>
          <w:sz w:val="24"/>
          <w:szCs w:val="24"/>
        </w:rPr>
        <w:fldChar w:fldCharType="end"/>
      </w:r>
    </w:p>
    <w:p w14:paraId="7EF7DD1B">
      <w:pPr>
        <w:rPr>
          <w:rFonts w:ascii="Times New Roman" w:hAnsi="Times New Roman" w:cs="Times New Roman"/>
          <w:sz w:val="24"/>
          <w:szCs w:val="24"/>
        </w:rPr>
      </w:pPr>
      <w:r>
        <w:rPr>
          <w:rFonts w:ascii="Times New Roman" w:hAnsi="Times New Roman" w:cs="Times New Roman"/>
          <w:sz w:val="24"/>
          <w:szCs w:val="24"/>
        </w:rPr>
        <w:t>Megjithëse kuadri ligjor ka pësuar përmirësime, zbatimi i tij mbetet sfidë. Nuk mjafton vetëm dënimi i dhunuesit; kërkohet një qasje multidimensionale që përfshin edukimin e hershëm, mbështetjen psikologjike dhe fuqizimin ekonomik të grave. Vetëm duke thyer heshtjen dhe duke ofruar një rrjet sigurie të palëkundur, mund të shpresojmë në një shoqëri ku shtëpia është vërtet një vend i sigurt për të gjithë.</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NOTEREF _Ref218779808 \f \h </w:instrText>
      </w:r>
      <w:r>
        <w:rPr>
          <w:rFonts w:ascii="Times New Roman" w:hAnsi="Times New Roman" w:cs="Times New Roman"/>
          <w:sz w:val="24"/>
          <w:szCs w:val="24"/>
        </w:rPr>
        <w:fldChar w:fldCharType="separate"/>
      </w:r>
      <w:r>
        <w:rPr>
          <w:rStyle w:val="11"/>
        </w:rPr>
        <w:t>45</w:t>
      </w:r>
      <w:r>
        <w:rPr>
          <w:rFonts w:ascii="Times New Roman" w:hAnsi="Times New Roman" w:cs="Times New Roman"/>
          <w:sz w:val="24"/>
          <w:szCs w:val="24"/>
        </w:rPr>
        <w:fldChar w:fldCharType="end"/>
      </w:r>
    </w:p>
    <w:p w14:paraId="07F22C33">
      <w:pPr>
        <w:rPr>
          <w:rFonts w:ascii="Times New Roman" w:hAnsi="Times New Roman" w:cs="Times New Roman"/>
          <w:sz w:val="24"/>
          <w:szCs w:val="24"/>
        </w:rPr>
      </w:pPr>
      <w:r>
        <w:rPr>
          <w:rFonts w:ascii="Times New Roman" w:hAnsi="Times New Roman" w:cs="Times New Roman"/>
          <w:sz w:val="24"/>
          <w:szCs w:val="24"/>
        </w:rPr>
        <w:t>ofruar një rrjet sigurie të palëkundur, mund të shpresojmë në një shoqëri ku shtëpia është vërtet një vend i sigurt për të gjithë.</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NOTEREF _Ref218779808 \f \h </w:instrText>
      </w:r>
      <w:r>
        <w:rPr>
          <w:rFonts w:ascii="Times New Roman" w:hAnsi="Times New Roman" w:cs="Times New Roman"/>
          <w:sz w:val="24"/>
          <w:szCs w:val="24"/>
        </w:rPr>
        <w:fldChar w:fldCharType="separate"/>
      </w:r>
      <w:r>
        <w:rPr>
          <w:rStyle w:val="11"/>
        </w:rPr>
        <w:t>45</w:t>
      </w:r>
      <w:r>
        <w:rPr>
          <w:rFonts w:ascii="Times New Roman" w:hAnsi="Times New Roman" w:cs="Times New Roman"/>
          <w:sz w:val="24"/>
          <w:szCs w:val="24"/>
        </w:rPr>
        <w:fldChar w:fldCharType="end"/>
      </w:r>
    </w:p>
    <w:p w14:paraId="532B605A">
      <w:pPr>
        <w:rPr>
          <w:rFonts w:ascii="Times New Roman" w:hAnsi="Times New Roman" w:cs="Times New Roman"/>
          <w:sz w:val="24"/>
          <w:szCs w:val="24"/>
        </w:rPr>
      </w:pPr>
      <w:r>
        <w:rPr>
          <w:rFonts w:ascii="Times New Roman" w:hAnsi="Times New Roman" w:cs="Times New Roman"/>
          <w:sz w:val="24"/>
          <w:szCs w:val="24"/>
        </w:rPr>
        <w:br w:type="page"/>
      </w:r>
    </w:p>
    <w:p w14:paraId="0F517E7B">
      <w:pPr>
        <w:jc w:val="center"/>
        <w:rPr>
          <w:rFonts w:ascii="Times New Roman" w:hAnsi="Times New Roman" w:cs="Times New Roman"/>
          <w:b/>
          <w:bCs/>
          <w:sz w:val="28"/>
          <w:szCs w:val="28"/>
        </w:rPr>
      </w:pPr>
      <w:r>
        <w:rPr>
          <w:rFonts w:ascii="Times New Roman" w:hAnsi="Times New Roman" w:cs="Times New Roman"/>
          <w:b/>
          <w:bCs/>
          <w:sz w:val="28"/>
          <w:szCs w:val="28"/>
        </w:rPr>
        <w:t>PËRFUNDIMI</w:t>
      </w:r>
    </w:p>
    <w:p w14:paraId="241120FA">
      <w:pPr>
        <w:jc w:val="center"/>
        <w:rPr>
          <w:rFonts w:ascii="Times New Roman" w:hAnsi="Times New Roman" w:cs="Times New Roman"/>
          <w:b/>
          <w:bCs/>
          <w:sz w:val="28"/>
          <w:szCs w:val="28"/>
        </w:rPr>
      </w:pPr>
    </w:p>
    <w:p w14:paraId="446DF2CD">
      <w:pPr>
        <w:rPr>
          <w:rFonts w:ascii="Times New Roman" w:hAnsi="Times New Roman" w:cs="Times New Roman"/>
          <w:sz w:val="24"/>
          <w:szCs w:val="24"/>
        </w:rPr>
      </w:pPr>
      <w:r>
        <w:rPr>
          <w:rFonts w:ascii="Times New Roman" w:hAnsi="Times New Roman" w:cs="Times New Roman"/>
          <w:sz w:val="24"/>
          <w:szCs w:val="24"/>
        </w:rPr>
        <w:t>Dhuna në familje mbetet një nga sfidat më serioze për shoqërinë kosovare, duke mos qenë thjesht një “çështje private”, por një fenomen që prek sigurinë publike, shëndetin mendor dhe të drejtat e njeriut. Analiza e këtij fenomeni tregon se dhuna nuk është një incident i izoluar, por një proces spiral që përsëritet dhe ndikojnë faktorë socio-ekonomikë, trashëgimia e luftës, recidivizmi dhe përdorimi i substancave narkotike.</w:t>
      </w:r>
    </w:p>
    <w:p w14:paraId="49086C34">
      <w:pPr>
        <w:rPr>
          <w:rFonts w:ascii="Times New Roman" w:hAnsi="Times New Roman" w:cs="Times New Roman"/>
          <w:sz w:val="24"/>
          <w:szCs w:val="24"/>
        </w:rPr>
      </w:pPr>
      <w:r>
        <w:rPr>
          <w:rFonts w:ascii="Times New Roman" w:hAnsi="Times New Roman" w:cs="Times New Roman"/>
          <w:sz w:val="24"/>
          <w:szCs w:val="24"/>
        </w:rPr>
        <w:t>Viktimat e dhunës janë kryesisht gratë, fëmijët dhe të moshuarit, ndërsa burrat, edhe pse më pak të raportuar, nuk mbeten jashtë analizës viktimologjike. Studimi i ciklit të dhunës, marrëdhënia viktimë-autor dhe konceptet e viktimizimit të dytë dhe indirekt tregojnë rëndësinë e trajtimit të tërësishëm të problemit, jo vetëm ndëshkimin penal të autorit.</w:t>
      </w:r>
    </w:p>
    <w:p w14:paraId="632BD68A">
      <w:pPr>
        <w:rPr>
          <w:rFonts w:ascii="Times New Roman" w:hAnsi="Times New Roman" w:cs="Times New Roman"/>
          <w:sz w:val="24"/>
          <w:szCs w:val="24"/>
        </w:rPr>
      </w:pPr>
      <w:r>
        <w:rPr>
          <w:rFonts w:ascii="Times New Roman" w:hAnsi="Times New Roman" w:cs="Times New Roman"/>
          <w:sz w:val="24"/>
          <w:szCs w:val="24"/>
        </w:rPr>
        <w:t>Institucionet kosovare, përfshirë policinë, gjykatat, prokurorinë dhe qendrat sociale, kanë marrë hapa për përmirësimin e mbrojtjes së viktimave, por mbeten sfida kritike si dënimet e ulëta, mungesa e mbështetjes ekonomike, monitorimi i kufizuar i urdhrave të mbrojtjes dhe stigma sociale. Parandalimi i dhunës kërkon një qasje multidimensionale: edukim i hershëm mbi respektin gjinor, mbështetje psikologjike dhe fuqizim ekonomik të grave. Vetëm me një sistem të integruar dhe shoqëri të ndërgjegjshme mund të shpresojmë në një ambient të sigurt familjar për të gjithë.</w:t>
      </w:r>
    </w:p>
    <w:p w14:paraId="5915DBE1">
      <w:pPr>
        <w:jc w:val="center"/>
        <w:rPr>
          <w:rFonts w:ascii="Times New Roman" w:hAnsi="Times New Roman" w:cs="Times New Roman"/>
          <w:b/>
          <w:bCs/>
          <w:sz w:val="28"/>
          <w:szCs w:val="28"/>
        </w:rPr>
      </w:pPr>
    </w:p>
    <w:p w14:paraId="18F0D52F">
      <w:pPr>
        <w:rPr>
          <w:rFonts w:ascii="Times New Roman" w:hAnsi="Times New Roman" w:cs="Times New Roman"/>
          <w:b/>
          <w:bCs/>
          <w:sz w:val="28"/>
          <w:szCs w:val="28"/>
        </w:rPr>
      </w:pPr>
      <w:r>
        <w:rPr>
          <w:rFonts w:ascii="Times New Roman" w:hAnsi="Times New Roman" w:cs="Times New Roman"/>
          <w:b/>
          <w:bCs/>
          <w:sz w:val="28"/>
          <w:szCs w:val="28"/>
        </w:rPr>
        <w:br w:type="page"/>
      </w:r>
    </w:p>
    <w:p w14:paraId="1D3F0547">
      <w:pPr>
        <w:jc w:val="center"/>
        <w:rPr>
          <w:rFonts w:ascii="Times New Roman" w:hAnsi="Times New Roman" w:cs="Times New Roman"/>
          <w:b/>
          <w:bCs/>
          <w:sz w:val="28"/>
          <w:szCs w:val="28"/>
        </w:rPr>
      </w:pPr>
      <w:r>
        <w:rPr>
          <w:rFonts w:ascii="Times New Roman" w:hAnsi="Times New Roman" w:cs="Times New Roman"/>
          <w:b/>
          <w:bCs/>
          <w:sz w:val="28"/>
          <w:szCs w:val="28"/>
        </w:rPr>
        <w:t>BIBLIOGRAFIA / LITERATURA</w:t>
      </w:r>
    </w:p>
    <w:p w14:paraId="2E616E85">
      <w:pPr>
        <w:jc w:val="center"/>
        <w:rPr>
          <w:rFonts w:ascii="Times New Roman" w:hAnsi="Times New Roman" w:cs="Times New Roman"/>
          <w:b/>
          <w:bCs/>
          <w:sz w:val="28"/>
          <w:szCs w:val="28"/>
        </w:rPr>
      </w:pPr>
    </w:p>
    <w:p w14:paraId="15BA38C1">
      <w:pPr>
        <w:numPr>
          <w:ilvl w:val="0"/>
          <w:numId w:val="3"/>
        </w:numPr>
        <w:rPr>
          <w:rFonts w:ascii="Times New Roman" w:hAnsi="Times New Roman" w:cs="Times New Roman"/>
          <w:sz w:val="24"/>
          <w:szCs w:val="24"/>
        </w:rPr>
      </w:pPr>
      <w:r>
        <w:rPr>
          <w:rFonts w:ascii="Times New Roman" w:hAnsi="Times New Roman" w:cs="Times New Roman"/>
          <w:sz w:val="24"/>
          <w:szCs w:val="24"/>
        </w:rPr>
        <w:t>Këshilli i Evropës, Konventa e Stambollit për Parandalimin dhe Luftimin e Dhunës ndaj Grave dhe Dhunës Familjare, 2011.</w:t>
      </w:r>
    </w:p>
    <w:p w14:paraId="2420144A">
      <w:pPr>
        <w:numPr>
          <w:ilvl w:val="0"/>
          <w:numId w:val="3"/>
        </w:numPr>
        <w:rPr>
          <w:rFonts w:ascii="Times New Roman" w:hAnsi="Times New Roman" w:cs="Times New Roman"/>
          <w:sz w:val="24"/>
          <w:szCs w:val="24"/>
        </w:rPr>
      </w:pPr>
      <w:r>
        <w:rPr>
          <w:rFonts w:ascii="Times New Roman" w:hAnsi="Times New Roman" w:cs="Times New Roman"/>
          <w:sz w:val="24"/>
          <w:szCs w:val="24"/>
        </w:rPr>
        <w:t>UNDP Kosovo, Domestic Violence Prevention and Institutional Response in Kosovo 2024–2025, Prishtinë, 2025.</w:t>
      </w:r>
    </w:p>
    <w:p w14:paraId="7DB71BFE">
      <w:pPr>
        <w:numPr>
          <w:ilvl w:val="0"/>
          <w:numId w:val="3"/>
        </w:numPr>
        <w:rPr>
          <w:rFonts w:ascii="Times New Roman" w:hAnsi="Times New Roman" w:cs="Times New Roman"/>
          <w:sz w:val="24"/>
          <w:szCs w:val="24"/>
        </w:rPr>
      </w:pPr>
      <w:r>
        <w:rPr>
          <w:rFonts w:ascii="Times New Roman" w:hAnsi="Times New Roman" w:cs="Times New Roman"/>
          <w:sz w:val="24"/>
          <w:szCs w:val="24"/>
        </w:rPr>
        <w:t>Bandura, A., Social Learning Theory, Englewood Cliffs: Prentice Hall, 1977.</w:t>
      </w:r>
    </w:p>
    <w:p w14:paraId="74B9D98E">
      <w:pPr>
        <w:numPr>
          <w:ilvl w:val="0"/>
          <w:numId w:val="3"/>
        </w:numPr>
        <w:rPr>
          <w:rFonts w:ascii="Times New Roman" w:hAnsi="Times New Roman" w:cs="Times New Roman"/>
          <w:sz w:val="24"/>
          <w:szCs w:val="24"/>
        </w:rPr>
      </w:pPr>
      <w:r>
        <w:rPr>
          <w:rFonts w:ascii="Times New Roman" w:hAnsi="Times New Roman" w:cs="Times New Roman"/>
          <w:sz w:val="24"/>
          <w:szCs w:val="24"/>
        </w:rPr>
        <w:t>Walker, L. E., The Battered Woman, New York: Harper &amp; Row, 1979.</w:t>
      </w:r>
    </w:p>
    <w:p w14:paraId="18DC0736">
      <w:pPr>
        <w:numPr>
          <w:ilvl w:val="0"/>
          <w:numId w:val="3"/>
        </w:numPr>
        <w:rPr>
          <w:rFonts w:ascii="Times New Roman" w:hAnsi="Times New Roman" w:cs="Times New Roman"/>
          <w:sz w:val="24"/>
          <w:szCs w:val="24"/>
        </w:rPr>
      </w:pPr>
      <w:r>
        <w:rPr>
          <w:rFonts w:ascii="Times New Roman" w:hAnsi="Times New Roman" w:cs="Times New Roman"/>
          <w:sz w:val="24"/>
          <w:szCs w:val="24"/>
        </w:rPr>
        <w:t>Këshilli i Evropës, Viktimologjia dhe Drejtësia Restauruese, 2022.</w:t>
      </w:r>
    </w:p>
    <w:p w14:paraId="4C0D6860">
      <w:pPr>
        <w:numPr>
          <w:ilvl w:val="0"/>
          <w:numId w:val="3"/>
        </w:numPr>
        <w:rPr>
          <w:rFonts w:ascii="Times New Roman" w:hAnsi="Times New Roman" w:cs="Times New Roman"/>
          <w:sz w:val="24"/>
          <w:szCs w:val="24"/>
        </w:rPr>
      </w:pPr>
      <w:r>
        <w:rPr>
          <w:rFonts w:ascii="Times New Roman" w:hAnsi="Times New Roman" w:cs="Times New Roman"/>
          <w:sz w:val="24"/>
          <w:szCs w:val="24"/>
        </w:rPr>
        <w:t>Zyra e Statistikave të Kosovës (ASK), Raporti për Dhunën në Familje në Kosovë 2023–2025, Prishtinë, 2025.</w:t>
      </w:r>
    </w:p>
    <w:p w14:paraId="396A08D6">
      <w:pPr>
        <w:numPr>
          <w:ilvl w:val="0"/>
          <w:numId w:val="3"/>
        </w:numPr>
        <w:rPr>
          <w:rFonts w:ascii="Times New Roman" w:hAnsi="Times New Roman" w:cs="Times New Roman"/>
          <w:sz w:val="24"/>
          <w:szCs w:val="24"/>
          <w:lang w:val="sv-SE"/>
        </w:rPr>
      </w:pPr>
      <w:r>
        <w:rPr>
          <w:rFonts w:ascii="Times New Roman" w:hAnsi="Times New Roman" w:cs="Times New Roman"/>
          <w:sz w:val="24"/>
          <w:szCs w:val="24"/>
          <w:lang w:val="sv-SE"/>
        </w:rPr>
        <w:t>Ligji Penal i Republikës së Kosovës, Neni 248 – Dhuna në Familje, 2024.</w:t>
      </w:r>
    </w:p>
    <w:p w14:paraId="33E1CB0A">
      <w:pPr>
        <w:numPr>
          <w:ilvl w:val="0"/>
          <w:numId w:val="3"/>
        </w:numPr>
        <w:rPr>
          <w:rFonts w:ascii="Times New Roman" w:hAnsi="Times New Roman" w:cs="Times New Roman"/>
          <w:sz w:val="24"/>
          <w:szCs w:val="24"/>
          <w:lang w:val="sv-SE"/>
        </w:rPr>
      </w:pPr>
      <w:r>
        <w:rPr>
          <w:rFonts w:ascii="Times New Roman" w:hAnsi="Times New Roman" w:cs="Times New Roman"/>
          <w:sz w:val="24"/>
          <w:szCs w:val="24"/>
          <w:lang w:val="sv-SE"/>
        </w:rPr>
        <w:t>Ligji Penal i Shqipërisë, Neni 130/a – Dhuna në Familje, 2024.</w:t>
      </w:r>
    </w:p>
    <w:p w14:paraId="78371B8A">
      <w:pPr>
        <w:numPr>
          <w:ilvl w:val="0"/>
          <w:numId w:val="3"/>
        </w:numPr>
        <w:rPr>
          <w:rFonts w:ascii="Times New Roman" w:hAnsi="Times New Roman" w:cs="Times New Roman"/>
          <w:sz w:val="24"/>
          <w:szCs w:val="24"/>
        </w:rPr>
      </w:pPr>
      <w:r>
        <w:rPr>
          <w:rFonts w:ascii="Times New Roman" w:hAnsi="Times New Roman" w:cs="Times New Roman"/>
          <w:sz w:val="24"/>
          <w:szCs w:val="24"/>
        </w:rPr>
        <w:t>UN Women, Global Study on Homicide: Gender-related Killing of Women and Girls, 2019.</w:t>
      </w:r>
    </w:p>
    <w:p w14:paraId="155534D7">
      <w:pPr>
        <w:jc w:val="center"/>
        <w:rPr>
          <w:rFonts w:ascii="Times New Roman" w:hAnsi="Times New Roman" w:cs="Times New Roman"/>
          <w:b/>
          <w:bCs/>
          <w:sz w:val="28"/>
          <w:szCs w:val="28"/>
        </w:rPr>
      </w:pPr>
    </w:p>
    <w:sectPr>
      <w:footerReference r:id="rId5" w:type="default"/>
      <w:pgSz w:w="12240" w:h="15840"/>
      <w:pgMar w:top="1440" w:right="1440" w:bottom="1440" w:left="1440" w:header="720" w:footer="720" w:gutter="0"/>
      <w:pgNumType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libri">
    <w:altName w:val="Helvetica Neue"/>
    <w:panose1 w:val="00000000000000000000"/>
    <w:charset w:val="00"/>
    <w:family w:val="auto"/>
    <w:pitch w:val="default"/>
    <w:sig w:usb0="00000000" w:usb1="00000000" w:usb2="00000000" w:usb3="00000000" w:csb0="00000000" w:csb1="00000000"/>
  </w:font>
  <w:font w:name="Calibri Light">
    <w:altName w:val="Helvetica Neue"/>
    <w:panose1 w:val="020F0302020204030204"/>
    <w:charset w:val="00"/>
    <w:family w:val="swiss"/>
    <w:pitch w:val="default"/>
    <w:sig w:usb0="00000000" w:usb1="00000000" w:usb2="00000009" w:usb3="00000000" w:csb0="000001FF" w:csb1="00000000"/>
  </w:font>
  <w:font w:name="游ゴシック Light">
    <w:altName w:val="苹方-简"/>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Hiragino Sans GB">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3778432"/>
      <w:docPartObj>
        <w:docPartGallery w:val="AutoText"/>
      </w:docPartObj>
    </w:sdtPr>
    <w:sdtContent>
      <w:p w14:paraId="28948B83">
        <w:pPr>
          <w:pStyle w:val="10"/>
          <w:jc w:val="right"/>
        </w:pPr>
        <w:r>
          <w:fldChar w:fldCharType="begin"/>
        </w:r>
        <w:r>
          <w:instrText xml:space="preserve"> PAGE   \* MERGEFORMAT </w:instrText>
        </w:r>
        <w:r>
          <w:fldChar w:fldCharType="separate"/>
        </w:r>
        <w:r>
          <w:t>2</w:t>
        </w:r>
        <w:r>
          <w:fldChar w:fldCharType="end"/>
        </w:r>
      </w:p>
    </w:sdtContent>
  </w:sdt>
  <w:p w14:paraId="43F679A2">
    <w:pPr>
      <w:pStyle w:val="10"/>
      <w:jc w:val="right"/>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90">
    <w:p>
      <w:pPr>
        <w:spacing w:before="0" w:after="0" w:line="259" w:lineRule="auto"/>
      </w:pPr>
      <w:r>
        <w:separator/>
      </w:r>
    </w:p>
  </w:footnote>
  <w:footnote w:type="continuationSeparator" w:id="91">
    <w:p>
      <w:pPr>
        <w:spacing w:before="0" w:after="0" w:line="259" w:lineRule="auto"/>
      </w:pPr>
      <w:r>
        <w:continuationSeparator/>
      </w:r>
    </w:p>
  </w:footnote>
  <w:footnote w:id="0">
    <w:p w14:paraId="090B1758">
      <w:pPr>
        <w:pStyle w:val="12"/>
        <w:rPr>
          <w:lang w:val="de-DE"/>
        </w:rPr>
      </w:pPr>
      <w:r>
        <w:rPr>
          <w:rStyle w:val="11"/>
        </w:rPr>
        <w:footnoteRef/>
      </w:r>
      <w:r>
        <w:t xml:space="preserve"> Ragip Halili, </w:t>
      </w:r>
      <w:r>
        <w:rPr>
          <w:i/>
          <w:iCs/>
        </w:rPr>
        <w:t>Kriminologjia</w:t>
      </w:r>
      <w:r>
        <w:t>, 40–42</w:t>
      </w:r>
    </w:p>
  </w:footnote>
  <w:footnote w:id="1">
    <w:p w14:paraId="3F31C3C9">
      <w:pPr>
        <w:pStyle w:val="12"/>
      </w:pPr>
      <w:r>
        <w:rPr>
          <w:rStyle w:val="11"/>
        </w:rPr>
        <w:footnoteRef/>
      </w:r>
      <w:r>
        <w:t xml:space="preserve"> Ibid., 45–47</w:t>
      </w:r>
    </w:p>
  </w:footnote>
  <w:footnote w:id="2">
    <w:p w14:paraId="5B8DF67B">
      <w:pPr>
        <w:pStyle w:val="12"/>
      </w:pPr>
      <w:r>
        <w:rPr>
          <w:rStyle w:val="11"/>
        </w:rPr>
        <w:footnoteRef/>
      </w:r>
      <w:r>
        <w:t xml:space="preserve"> Kodi Penal i Republikës së Kosovës, neni 248; Kodi Penal i Republikës së Shqipërisë, neni 130/a.</w:t>
      </w:r>
    </w:p>
  </w:footnote>
  <w:footnote w:id="3">
    <w:p w14:paraId="02270DAF">
      <w:pPr>
        <w:pStyle w:val="12"/>
        <w:rPr>
          <w:lang w:val="sv-SE"/>
        </w:rPr>
      </w:pPr>
      <w:r>
        <w:rPr>
          <w:rStyle w:val="11"/>
        </w:rPr>
        <w:footnoteRef/>
      </w:r>
      <w:r>
        <w:rPr>
          <w:lang w:val="sv-SE"/>
        </w:rPr>
        <w:t xml:space="preserve"> Policia e Kosovës, </w:t>
      </w:r>
      <w:r>
        <w:rPr>
          <w:i/>
          <w:iCs/>
          <w:lang w:val="sv-SE"/>
        </w:rPr>
        <w:t>Raporti Vjetor mbi Dhunën në Familje 2024</w:t>
      </w:r>
      <w:r>
        <w:rPr>
          <w:lang w:val="sv-SE"/>
        </w:rPr>
        <w:t>.</w:t>
      </w:r>
    </w:p>
  </w:footnote>
  <w:footnote w:id="4">
    <w:p w14:paraId="592F41E9">
      <w:pPr>
        <w:pStyle w:val="12"/>
        <w:rPr>
          <w:lang w:val="de-DE"/>
        </w:rPr>
      </w:pPr>
      <w:r>
        <w:rPr>
          <w:rStyle w:val="11"/>
        </w:rPr>
        <w:footnoteRef/>
      </w:r>
      <w:r>
        <w:t xml:space="preserve"> Ministria e Drejtësisë, </w:t>
      </w:r>
      <w:r>
        <w:rPr>
          <w:i/>
          <w:iCs/>
        </w:rPr>
        <w:t>Procedura Standarde e Veprimit 2022–2026</w:t>
      </w:r>
      <w:r>
        <w:t>.</w:t>
      </w:r>
    </w:p>
  </w:footnote>
  <w:footnote w:id="5">
    <w:p w14:paraId="371E127E">
      <w:pPr>
        <w:pStyle w:val="12"/>
      </w:pPr>
      <w:r>
        <w:rPr>
          <w:rStyle w:val="11"/>
        </w:rPr>
        <w:footnoteRef/>
      </w:r>
      <w:r>
        <w:t xml:space="preserve"> World Health Organization, </w:t>
      </w:r>
      <w:r>
        <w:rPr>
          <w:i/>
          <w:iCs/>
        </w:rPr>
        <w:t>Understanding and Addressing Violence against Women</w:t>
      </w:r>
      <w:r>
        <w:t>.</w:t>
      </w:r>
    </w:p>
  </w:footnote>
  <w:footnote w:id="6">
    <w:p w14:paraId="7D5A031F">
      <w:pPr>
        <w:pStyle w:val="12"/>
        <w:rPr>
          <w:lang w:val="sv-SE"/>
        </w:rPr>
      </w:pPr>
      <w:r>
        <w:rPr>
          <w:rStyle w:val="11"/>
        </w:rPr>
        <w:footnoteRef/>
      </w:r>
      <w:r>
        <w:rPr>
          <w:lang w:val="sv-SE"/>
        </w:rPr>
        <w:t xml:space="preserve"> Këshilli i Evropës, </w:t>
      </w:r>
      <w:r>
        <w:rPr>
          <w:i/>
          <w:iCs/>
          <w:lang w:val="sv-SE"/>
        </w:rPr>
        <w:t>Konventa e Stambollit</w:t>
      </w:r>
      <w:r>
        <w:rPr>
          <w:lang w:val="sv-SE"/>
        </w:rPr>
        <w:t>.</w:t>
      </w:r>
    </w:p>
  </w:footnote>
  <w:footnote w:id="7">
    <w:p w14:paraId="20F456A4">
      <w:pPr>
        <w:pStyle w:val="12"/>
      </w:pPr>
      <w:r>
        <w:rPr>
          <w:rStyle w:val="11"/>
        </w:rPr>
        <w:footnoteRef/>
      </w:r>
      <w:r>
        <w:t xml:space="preserve"> UN Women, </w:t>
      </w:r>
      <w:r>
        <w:rPr>
          <w:i/>
          <w:iCs/>
        </w:rPr>
        <w:t>Online and Digital Violence against Women</w:t>
      </w:r>
      <w:r>
        <w:t>.</w:t>
      </w:r>
    </w:p>
  </w:footnote>
  <w:footnote w:id="8">
    <w:p w14:paraId="70D46823">
      <w:pPr>
        <w:pStyle w:val="12"/>
        <w:rPr>
          <w:lang w:val="de-DE"/>
        </w:rPr>
      </w:pPr>
      <w:r>
        <w:rPr>
          <w:rStyle w:val="11"/>
        </w:rPr>
        <w:footnoteRef/>
      </w:r>
      <w:r>
        <w:t xml:space="preserve"> Agjencia e Statistikave të Kosovës, </w:t>
      </w:r>
      <w:r>
        <w:rPr>
          <w:i/>
          <w:iCs/>
        </w:rPr>
        <w:t>Statistikat mbi Rastet e Dhunës në Familje 2023–2025</w:t>
      </w:r>
      <w:r>
        <w:t>.</w:t>
      </w:r>
    </w:p>
  </w:footnote>
  <w:footnote w:id="9">
    <w:p w14:paraId="66F59BBF">
      <w:pPr>
        <w:pStyle w:val="12"/>
      </w:pPr>
      <w:r>
        <w:rPr>
          <w:rStyle w:val="11"/>
        </w:rPr>
        <w:footnoteRef/>
      </w:r>
      <w:r>
        <w:t xml:space="preserve"> Albert Bandura, </w:t>
      </w:r>
      <w:r>
        <w:rPr>
          <w:i/>
          <w:iCs/>
        </w:rPr>
        <w:t>Social Learning Theory</w:t>
      </w:r>
      <w:r>
        <w:t xml:space="preserve"> (Englewood Cliffs, NJ: Prentice Hall, 1977), 17–25.</w:t>
      </w:r>
    </w:p>
  </w:footnote>
  <w:footnote w:id="10">
    <w:p w14:paraId="21EF321A">
      <w:pPr>
        <w:pStyle w:val="12"/>
      </w:pPr>
      <w:r>
        <w:rPr>
          <w:rStyle w:val="11"/>
        </w:rPr>
        <w:footnoteRef/>
      </w:r>
      <w:r>
        <w:t xml:space="preserve"> Travis Hirschi, </w:t>
      </w:r>
      <w:r>
        <w:rPr>
          <w:i/>
          <w:iCs/>
        </w:rPr>
        <w:t>Causes of Delinquency</w:t>
      </w:r>
      <w:r>
        <w:t xml:space="preserve"> (Berkeley: University of California Press, 1969), 16–34.</w:t>
      </w:r>
    </w:p>
  </w:footnote>
  <w:footnote w:id="11">
    <w:p w14:paraId="5A89E251">
      <w:pPr>
        <w:pStyle w:val="12"/>
      </w:pPr>
      <w:r>
        <w:rPr>
          <w:rStyle w:val="11"/>
        </w:rPr>
        <w:footnoteRef/>
      </w:r>
      <w:r>
        <w:t xml:space="preserve"> Robert K. Merton, “Social Structure and Anomie,” </w:t>
      </w:r>
      <w:r>
        <w:rPr>
          <w:i/>
          <w:iCs/>
        </w:rPr>
        <w:t>American Sociological Review</w:t>
      </w:r>
      <w:r>
        <w:t xml:space="preserve"> 3, no. 5 (1938): 672–682.</w:t>
      </w:r>
    </w:p>
  </w:footnote>
  <w:footnote w:id="12">
    <w:p w14:paraId="746912E6">
      <w:pPr>
        <w:pStyle w:val="12"/>
      </w:pPr>
      <w:r>
        <w:rPr>
          <w:rStyle w:val="11"/>
        </w:rPr>
        <w:footnoteRef/>
      </w:r>
      <w:r>
        <w:t xml:space="preserve"> Lenore E. Walker, </w:t>
      </w:r>
      <w:r>
        <w:rPr>
          <w:i/>
          <w:iCs/>
        </w:rPr>
        <w:t>The Battered Woman</w:t>
      </w:r>
      <w:r>
        <w:t xml:space="preserve"> (New York: Harper &amp; Row, 1979), 55–70.</w:t>
      </w:r>
    </w:p>
  </w:footnote>
  <w:footnote w:id="13">
    <w:p w14:paraId="4B587597">
      <w:pPr>
        <w:pStyle w:val="12"/>
        <w:rPr>
          <w:lang w:val="de-DE"/>
        </w:rPr>
      </w:pPr>
      <w:r>
        <w:rPr>
          <w:rStyle w:val="11"/>
        </w:rPr>
        <w:footnoteRef/>
      </w:r>
      <w:r>
        <w:t xml:space="preserve"> Ibid., 61–63.</w:t>
      </w:r>
    </w:p>
  </w:footnote>
  <w:footnote w:id="14">
    <w:p w14:paraId="3C16ABF6">
      <w:pPr>
        <w:pStyle w:val="12"/>
        <w:rPr>
          <w:lang w:val="de-DE"/>
        </w:rPr>
      </w:pPr>
      <w:r>
        <w:rPr>
          <w:rStyle w:val="11"/>
        </w:rPr>
        <w:footnoteRef/>
      </w:r>
      <w:r>
        <w:t xml:space="preserve"> Ibid., 64–66.</w:t>
      </w:r>
    </w:p>
  </w:footnote>
  <w:footnote w:id="15">
    <w:p w14:paraId="4F340C01">
      <w:pPr>
        <w:pStyle w:val="12"/>
        <w:rPr>
          <w:lang w:val="de-DE"/>
        </w:rPr>
      </w:pPr>
      <w:r>
        <w:rPr>
          <w:rStyle w:val="11"/>
        </w:rPr>
        <w:footnoteRef/>
      </w:r>
      <w:r>
        <w:t xml:space="preserve"> Halili, </w:t>
      </w:r>
      <w:r>
        <w:rPr>
          <w:i/>
          <w:iCs/>
        </w:rPr>
        <w:t>Kriminologjia</w:t>
      </w:r>
      <w:r>
        <w:t>, 112–115.</w:t>
      </w:r>
    </w:p>
  </w:footnote>
  <w:footnote w:id="16">
    <w:p w14:paraId="7E33A1DB">
      <w:pPr>
        <w:pStyle w:val="12"/>
      </w:pPr>
      <w:r>
        <w:rPr>
          <w:rStyle w:val="11"/>
        </w:rPr>
        <w:footnoteRef/>
      </w:r>
      <w:r>
        <w:t xml:space="preserve"> UNDP Kosovo, </w:t>
      </w:r>
      <w:r>
        <w:rPr>
          <w:i/>
          <w:iCs/>
        </w:rPr>
        <w:t>Human Development Report: Kosovo</w:t>
      </w:r>
      <w:r>
        <w:t xml:space="preserve"> (Prishtinë, 2023).</w:t>
      </w:r>
    </w:p>
  </w:footnote>
  <w:footnote w:id="17">
    <w:p w14:paraId="0E8DA779">
      <w:pPr>
        <w:pStyle w:val="12"/>
      </w:pPr>
      <w:r>
        <w:rPr>
          <w:rStyle w:val="11"/>
        </w:rPr>
        <w:footnoteRef/>
      </w:r>
      <w:r>
        <w:t xml:space="preserve"> Agjencia e Statistikave të Kosovës, </w:t>
      </w:r>
      <w:r>
        <w:rPr>
          <w:i/>
          <w:iCs/>
        </w:rPr>
        <w:t>Gratë dhe Burrat në Kosovë</w:t>
      </w:r>
      <w:r>
        <w:t xml:space="preserve"> (Prishtinë, 2024).</w:t>
      </w:r>
    </w:p>
  </w:footnote>
  <w:footnote w:id="18">
    <w:p w14:paraId="481CF775">
      <w:pPr>
        <w:pStyle w:val="12"/>
      </w:pPr>
      <w:r>
        <w:rPr>
          <w:rStyle w:val="11"/>
        </w:rPr>
        <w:footnoteRef/>
      </w:r>
      <w:r>
        <w:t xml:space="preserve"> World Health Organization, </w:t>
      </w:r>
      <w:r>
        <w:rPr>
          <w:i/>
          <w:iCs/>
        </w:rPr>
        <w:t>Mental Health of Populations Exposed to Conflict</w:t>
      </w:r>
      <w:r>
        <w:t xml:space="preserve"> (Geneva, 2019).</w:t>
      </w:r>
    </w:p>
  </w:footnote>
  <w:footnote w:id="19">
    <w:p w14:paraId="6951834E">
      <w:pPr>
        <w:pStyle w:val="12"/>
      </w:pPr>
      <w:r>
        <w:rPr>
          <w:rStyle w:val="11"/>
        </w:rPr>
        <w:footnoteRef/>
      </w:r>
      <w:r>
        <w:t xml:space="preserve"> OSCE Mission in Kosovo, </w:t>
      </w:r>
      <w:r>
        <w:rPr>
          <w:i/>
          <w:iCs/>
        </w:rPr>
        <w:t>Domestic Violence and the Justice System</w:t>
      </w:r>
      <w:r>
        <w:t xml:space="preserve"> (Prishtinë, 2022).</w:t>
      </w:r>
    </w:p>
  </w:footnote>
  <w:footnote w:id="20">
    <w:p w14:paraId="231D8F24">
      <w:pPr>
        <w:pStyle w:val="12"/>
      </w:pPr>
      <w:r>
        <w:rPr>
          <w:rStyle w:val="11"/>
        </w:rPr>
        <w:footnoteRef/>
      </w:r>
      <w:r>
        <w:t xml:space="preserve"> Policia e Kosovës, </w:t>
      </w:r>
      <w:r>
        <w:rPr>
          <w:i/>
          <w:iCs/>
        </w:rPr>
        <w:t>Raporti Vjetor mbi Dhunën në Familje 2024</w:t>
      </w:r>
      <w:r>
        <w:t xml:space="preserve"> (Prishtinë, 2025).</w:t>
      </w:r>
    </w:p>
  </w:footnote>
  <w:footnote w:id="21">
    <w:p w14:paraId="323DCF12">
      <w:pPr>
        <w:pStyle w:val="12"/>
        <w:rPr>
          <w:lang w:val="sv-SE"/>
        </w:rPr>
      </w:pPr>
      <w:r>
        <w:rPr>
          <w:rStyle w:val="11"/>
        </w:rPr>
        <w:footnoteRef/>
      </w:r>
      <w:r>
        <w:rPr>
          <w:lang w:val="sv-SE"/>
        </w:rPr>
        <w:t xml:space="preserve"> Agjencia e Statistikave të Kosovës, </w:t>
      </w:r>
      <w:r>
        <w:rPr>
          <w:i/>
          <w:iCs/>
          <w:lang w:val="sv-SE"/>
        </w:rPr>
        <w:t>Statistikat mbi Rastet e Dhunës në Familje 2023–2025</w:t>
      </w:r>
      <w:r>
        <w:rPr>
          <w:lang w:val="sv-SE"/>
        </w:rPr>
        <w:t xml:space="preserve"> (Prishtinë, 2025).</w:t>
      </w:r>
    </w:p>
  </w:footnote>
  <w:footnote w:id="22">
    <w:p w14:paraId="221ABD46">
      <w:pPr>
        <w:pStyle w:val="12"/>
        <w:rPr>
          <w:lang w:val="de-DE"/>
        </w:rPr>
      </w:pPr>
      <w:r>
        <w:rPr>
          <w:rStyle w:val="11"/>
        </w:rPr>
        <w:footnoteRef/>
      </w:r>
      <w:r>
        <w:t xml:space="preserve"> Ibid.</w:t>
      </w:r>
    </w:p>
  </w:footnote>
  <w:footnote w:id="23">
    <w:p w14:paraId="2E940B31">
      <w:pPr>
        <w:pStyle w:val="12"/>
        <w:rPr>
          <w:lang w:val="de-DE"/>
        </w:rPr>
      </w:pPr>
      <w:r>
        <w:rPr>
          <w:rStyle w:val="11"/>
        </w:rPr>
        <w:footnoteRef/>
      </w:r>
      <w:r>
        <w:t xml:space="preserve"> Elaine A. Anderson dhe John R. Campbell, </w:t>
      </w:r>
      <w:r>
        <w:rPr>
          <w:i/>
          <w:iCs/>
        </w:rPr>
        <w:t>Viktimologjia: Teori, Praktikë dhe Politikë</w:t>
      </w:r>
      <w:r>
        <w:t xml:space="preserve"> (London: Sage Publications, 2019), 12–15</w:t>
      </w:r>
    </w:p>
  </w:footnote>
  <w:footnote w:id="24">
    <w:p w14:paraId="2D402C3D">
      <w:pPr>
        <w:pStyle w:val="12"/>
        <w:rPr>
          <w:lang w:val="de-DE"/>
        </w:rPr>
      </w:pPr>
      <w:r>
        <w:rPr>
          <w:rStyle w:val="11"/>
        </w:rPr>
        <w:footnoteRef/>
      </w:r>
      <w:r>
        <w:t xml:space="preserve"> Andrew Karmen, </w:t>
      </w:r>
      <w:r>
        <w:rPr>
          <w:i/>
          <w:iCs/>
        </w:rPr>
        <w:t>Crime Victims: An Introduction to Victimology</w:t>
      </w:r>
      <w:r>
        <w:t>, 9th ed. (Boston: Cengage Learning, 2016), 4–6.</w:t>
      </w:r>
    </w:p>
  </w:footnote>
  <w:footnote w:id="25">
    <w:p w14:paraId="72647E7E">
      <w:pPr>
        <w:pStyle w:val="12"/>
        <w:rPr>
          <w:lang w:val="de-DE"/>
        </w:rPr>
      </w:pPr>
      <w:r>
        <w:rPr>
          <w:rStyle w:val="11"/>
        </w:rPr>
        <w:footnoteRef/>
      </w:r>
      <w:r>
        <w:t xml:space="preserve"> Ibid., 18–20.</w:t>
      </w:r>
    </w:p>
  </w:footnote>
  <w:footnote w:id="26">
    <w:p w14:paraId="5C54D65E">
      <w:pPr>
        <w:pStyle w:val="12"/>
      </w:pPr>
      <w:r>
        <w:rPr>
          <w:rStyle w:val="11"/>
        </w:rPr>
        <w:footnoteRef/>
      </w:r>
      <w:r>
        <w:t xml:space="preserve"> Sandra Walklate, </w:t>
      </w:r>
      <w:r>
        <w:rPr>
          <w:i/>
          <w:iCs/>
        </w:rPr>
        <w:t>Victimology: Theories and Applications</w:t>
      </w:r>
      <w:r>
        <w:t xml:space="preserve"> (London: Routledge, 2011), 49–52.</w:t>
      </w:r>
    </w:p>
  </w:footnote>
  <w:footnote w:id="27">
    <w:p w14:paraId="29A48725">
      <w:pPr>
        <w:pStyle w:val="12"/>
      </w:pPr>
      <w:r>
        <w:rPr>
          <w:rStyle w:val="11"/>
        </w:rPr>
        <w:footnoteRef/>
      </w:r>
      <w:r>
        <w:t xml:space="preserve"> David Finkelhor, </w:t>
      </w:r>
      <w:r>
        <w:rPr>
          <w:i/>
          <w:iCs/>
        </w:rPr>
        <w:t>Childhood Victimization</w:t>
      </w:r>
      <w:r>
        <w:t xml:space="preserve"> (Oxford: Oxford University Press, 2008), 23–25.</w:t>
      </w:r>
    </w:p>
  </w:footnote>
  <w:footnote w:id="28">
    <w:p w14:paraId="384705E5">
      <w:pPr>
        <w:pStyle w:val="12"/>
      </w:pPr>
      <w:r>
        <w:rPr>
          <w:rStyle w:val="11"/>
        </w:rPr>
        <w:footnoteRef/>
      </w:r>
      <w:r>
        <w:t xml:space="preserve"> Evan Stark, </w:t>
      </w:r>
      <w:r>
        <w:rPr>
          <w:i/>
          <w:iCs/>
        </w:rPr>
        <w:t>Coercive Control</w:t>
      </w:r>
      <w:r>
        <w:t xml:space="preserve"> (Oxford: Oxford University Press, 2007), 221–223.</w:t>
      </w:r>
    </w:p>
  </w:footnote>
  <w:footnote w:id="29">
    <w:p w14:paraId="21628629">
      <w:pPr>
        <w:pStyle w:val="12"/>
      </w:pPr>
      <w:r>
        <w:rPr>
          <w:rStyle w:val="11"/>
        </w:rPr>
        <w:footnoteRef/>
      </w:r>
      <w:r>
        <w:t xml:space="preserve"> United Nations Children’s Fund (UNICEF), </w:t>
      </w:r>
      <w:r>
        <w:rPr>
          <w:i/>
          <w:iCs/>
        </w:rPr>
        <w:t>Children and Domestic Violence</w:t>
      </w:r>
      <w:r>
        <w:t xml:space="preserve"> (New York, 2019), 7–9.</w:t>
      </w:r>
    </w:p>
  </w:footnote>
  <w:footnote w:id="30">
    <w:p w14:paraId="786E568D">
      <w:pPr>
        <w:pStyle w:val="12"/>
      </w:pPr>
      <w:r>
        <w:rPr>
          <w:rStyle w:val="11"/>
        </w:rPr>
        <w:footnoteRef/>
      </w:r>
      <w:r>
        <w:t xml:space="preserve"> World Health Organization, </w:t>
      </w:r>
      <w:r>
        <w:rPr>
          <w:i/>
          <w:iCs/>
        </w:rPr>
        <w:t>Elder Abuse</w:t>
      </w:r>
      <w:r>
        <w:t xml:space="preserve"> (Geneva, 2020), 11–13.</w:t>
      </w:r>
    </w:p>
  </w:footnote>
  <w:footnote w:id="31">
    <w:p w14:paraId="03BDA253">
      <w:pPr>
        <w:pStyle w:val="12"/>
      </w:pPr>
      <w:r>
        <w:rPr>
          <w:rStyle w:val="11"/>
        </w:rPr>
        <w:footnoteRef/>
      </w:r>
      <w:r>
        <w:t xml:space="preserve"> Malcolm George et al., </w:t>
      </w:r>
      <w:r>
        <w:rPr>
          <w:i/>
          <w:iCs/>
        </w:rPr>
        <w:t>Male Victims of Domestic Violence</w:t>
      </w:r>
      <w:r>
        <w:t xml:space="preserve"> (London: Palgrave Macmillan, 2013), 2–4.</w:t>
      </w:r>
    </w:p>
  </w:footnote>
  <w:footnote w:id="32">
    <w:p w14:paraId="50D0C947">
      <w:pPr>
        <w:pStyle w:val="12"/>
      </w:pPr>
      <w:r>
        <w:rPr>
          <w:rStyle w:val="11"/>
        </w:rPr>
        <w:footnoteRef/>
      </w:r>
      <w:r>
        <w:t xml:space="preserve"> Patrick Carnes, </w:t>
      </w:r>
      <w:r>
        <w:rPr>
          <w:i/>
          <w:iCs/>
        </w:rPr>
        <w:t>The Betrayal Bond</w:t>
      </w:r>
      <w:r>
        <w:t xml:space="preserve"> (Deerfield Beach: Health Communications, 2019), 87–90.</w:t>
      </w:r>
    </w:p>
  </w:footnote>
  <w:footnote w:id="33">
    <w:p w14:paraId="4C57C7EF">
      <w:pPr>
        <w:pStyle w:val="12"/>
      </w:pPr>
      <w:r>
        <w:rPr>
          <w:rStyle w:val="11"/>
        </w:rPr>
        <w:footnoteRef/>
      </w:r>
      <w:r>
        <w:t xml:space="preserve"> Nils Christie, “The Ideal Victim,” në </w:t>
      </w:r>
      <w:r>
        <w:rPr>
          <w:i/>
          <w:iCs/>
        </w:rPr>
        <w:t>From Crime Policy to Victim Policy</w:t>
      </w:r>
      <w:r>
        <w:t xml:space="preserve"> (London: Palgrave, 1986), 18–20.</w:t>
      </w:r>
    </w:p>
  </w:footnote>
  <w:footnote w:id="34">
    <w:p w14:paraId="179A8884">
      <w:pPr>
        <w:pStyle w:val="12"/>
      </w:pPr>
      <w:r>
        <w:rPr>
          <w:rStyle w:val="11"/>
        </w:rPr>
        <w:footnoteRef/>
      </w:r>
      <w:r>
        <w:t xml:space="preserve"> Howard Zehr, </w:t>
      </w:r>
      <w:r>
        <w:rPr>
          <w:i/>
          <w:iCs/>
        </w:rPr>
        <w:t>The Little Book of Restorative Justice</w:t>
      </w:r>
      <w:r>
        <w:t xml:space="preserve"> (Intercourse, PA: Good Books, 2015), 25–28.</w:t>
      </w:r>
    </w:p>
  </w:footnote>
  <w:footnote w:id="35">
    <w:p w14:paraId="71538DE2">
      <w:pPr>
        <w:pStyle w:val="12"/>
        <w:rPr>
          <w:lang w:val="de-DE"/>
        </w:rPr>
      </w:pPr>
      <w:r>
        <w:rPr>
          <w:rStyle w:val="11"/>
        </w:rPr>
        <w:footnoteRef/>
      </w:r>
      <w:r>
        <w:t xml:space="preserve"> Walklate, </w:t>
      </w:r>
      <w:r>
        <w:rPr>
          <w:i/>
          <w:iCs/>
        </w:rPr>
        <w:t>Victimology</w:t>
      </w:r>
      <w:r>
        <w:t>, 112–114.</w:t>
      </w:r>
    </w:p>
  </w:footnote>
  <w:footnote w:id="36">
    <w:p w14:paraId="5C1A56DA">
      <w:pPr>
        <w:pStyle w:val="12"/>
      </w:pPr>
      <w:r>
        <w:rPr>
          <w:rStyle w:val="11"/>
        </w:rPr>
        <w:footnoteRef/>
      </w:r>
      <w:r>
        <w:t xml:space="preserve"> United Nations Development Programme (UNDP), </w:t>
      </w:r>
      <w:r>
        <w:rPr>
          <w:i/>
          <w:iCs/>
        </w:rPr>
        <w:t>Domestic Violence Prevention and Institutional Response in Kosovo 2024-2025</w:t>
      </w:r>
      <w:r>
        <w:t xml:space="preserve"> (Prishtinë: UNDP Kosovo, 2025), 5–7.</w:t>
      </w:r>
    </w:p>
  </w:footnote>
  <w:footnote w:id="37">
    <w:p w14:paraId="5C5D0562">
      <w:pPr>
        <w:pStyle w:val="12"/>
        <w:rPr>
          <w:lang w:val="de-DE"/>
        </w:rPr>
      </w:pPr>
      <w:r>
        <w:rPr>
          <w:rStyle w:val="11"/>
        </w:rPr>
        <w:footnoteRef/>
      </w:r>
      <w:r>
        <w:t xml:space="preserve"> Ibid., 10–12.</w:t>
      </w:r>
    </w:p>
  </w:footnote>
  <w:footnote w:id="38">
    <w:p w14:paraId="5E2EEB64">
      <w:pPr>
        <w:pStyle w:val="12"/>
        <w:rPr>
          <w:lang w:val="de-DE"/>
        </w:rPr>
      </w:pPr>
      <w:r>
        <w:rPr>
          <w:rStyle w:val="11"/>
        </w:rPr>
        <w:footnoteRef/>
      </w:r>
      <w:r>
        <w:t xml:space="preserve"> Ibid., 13–15.</w:t>
      </w:r>
    </w:p>
  </w:footnote>
  <w:footnote w:id="39">
    <w:p w14:paraId="0CD6E874">
      <w:pPr>
        <w:pStyle w:val="12"/>
        <w:rPr>
          <w:lang w:val="de-DE"/>
        </w:rPr>
      </w:pPr>
      <w:r>
        <w:rPr>
          <w:rStyle w:val="11"/>
        </w:rPr>
        <w:footnoteRef/>
      </w:r>
      <w:r>
        <w:t xml:space="preserve"> Ibid., 16–17.</w:t>
      </w:r>
    </w:p>
  </w:footnote>
  <w:footnote w:id="40">
    <w:p w14:paraId="3D2D8AB2">
      <w:pPr>
        <w:pStyle w:val="12"/>
        <w:rPr>
          <w:lang w:val="de-DE"/>
        </w:rPr>
      </w:pPr>
      <w:r>
        <w:rPr>
          <w:rStyle w:val="11"/>
        </w:rPr>
        <w:footnoteRef/>
      </w:r>
      <w:r>
        <w:t xml:space="preserve"> Ibid., 18–20.</w:t>
      </w:r>
    </w:p>
  </w:footnote>
  <w:footnote w:id="41">
    <w:p w14:paraId="44D02162">
      <w:pPr>
        <w:pStyle w:val="12"/>
      </w:pPr>
      <w:r>
        <w:rPr>
          <w:rStyle w:val="11"/>
        </w:rPr>
        <w:footnoteRef/>
      </w:r>
      <w:r>
        <w:t xml:space="preserve"> United Nations Development Programme (UNDP), </w:t>
      </w:r>
      <w:r>
        <w:rPr>
          <w:i/>
          <w:iCs/>
        </w:rPr>
        <w:t>Domestic Violence Prevention and Institutional Response in Kosovo 2024-2025</w:t>
      </w:r>
      <w:r>
        <w:t xml:space="preserve"> (Prishtinë: UNDP Kosovo, 2025), 5–7.</w:t>
      </w:r>
    </w:p>
  </w:footnote>
  <w:footnote w:id="42">
    <w:p w14:paraId="49085A70">
      <w:pPr>
        <w:pStyle w:val="12"/>
        <w:rPr>
          <w:lang w:val="de-DE"/>
        </w:rPr>
      </w:pPr>
      <w:r>
        <w:rPr>
          <w:rStyle w:val="11"/>
        </w:rPr>
        <w:footnoteRef/>
      </w:r>
      <w:r>
        <w:t xml:space="preserve"> Ibid., 12–15.</w:t>
      </w:r>
    </w:p>
  </w:footnote>
  <w:footnote w:id="43">
    <w:p w14:paraId="2FE946CD">
      <w:pPr>
        <w:pStyle w:val="12"/>
        <w:rPr>
          <w:lang w:val="de-DE"/>
        </w:rPr>
      </w:pPr>
      <w:r>
        <w:rPr>
          <w:rStyle w:val="11"/>
        </w:rPr>
        <w:footnoteRef/>
      </w:r>
      <w:r>
        <w:t xml:space="preserve"> Ibid., 16–18.</w:t>
      </w:r>
    </w:p>
  </w:footnote>
  <w:footnote w:id="44">
    <w:p w14:paraId="2EE936FC">
      <w:pPr>
        <w:pStyle w:val="12"/>
        <w:rPr>
          <w:lang w:val="de-DE"/>
        </w:rPr>
      </w:pPr>
      <w:r>
        <w:rPr>
          <w:rStyle w:val="11"/>
        </w:rPr>
        <w:footnoteRef/>
      </w:r>
      <w:r>
        <w:t xml:space="preserve"> Ibid., 19–22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AB06D7"/>
    <w:multiLevelType w:val="multilevel"/>
    <w:tmpl w:val="14AB06D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160865EA"/>
    <w:multiLevelType w:val="multilevel"/>
    <w:tmpl w:val="160865EA"/>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F551977"/>
    <w:multiLevelType w:val="multilevel"/>
    <w:tmpl w:val="5F551977"/>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cumentProtection w:enforcement="0"/>
  <w:defaultTabStop w:val="720"/>
  <w:hyphenationZone w:val="425"/>
  <w:characterSpacingControl w:val="doNotCompress"/>
  <w:footnotePr>
    <w:footnote w:id="90"/>
    <w:footnote w:id="9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E2"/>
    <w:rsid w:val="00062253"/>
    <w:rsid w:val="000B3268"/>
    <w:rsid w:val="001E7003"/>
    <w:rsid w:val="00243DF5"/>
    <w:rsid w:val="002B3DB1"/>
    <w:rsid w:val="003C193A"/>
    <w:rsid w:val="003F6966"/>
    <w:rsid w:val="00457040"/>
    <w:rsid w:val="00484432"/>
    <w:rsid w:val="004A26CA"/>
    <w:rsid w:val="00657908"/>
    <w:rsid w:val="006B4E34"/>
    <w:rsid w:val="00784CF4"/>
    <w:rsid w:val="008749E2"/>
    <w:rsid w:val="008766DA"/>
    <w:rsid w:val="00AC283E"/>
    <w:rsid w:val="00AC370D"/>
    <w:rsid w:val="00AF03F1"/>
    <w:rsid w:val="00B56E32"/>
    <w:rsid w:val="00B57E77"/>
    <w:rsid w:val="00B62532"/>
    <w:rsid w:val="00C7437B"/>
    <w:rsid w:val="00CC08C4"/>
    <w:rsid w:val="00D11647"/>
    <w:rsid w:val="00D47469"/>
    <w:rsid w:val="00E343DC"/>
    <w:rsid w:val="00E37DC0"/>
    <w:rsid w:val="00E91BEA"/>
    <w:rsid w:val="00F15660"/>
    <w:rsid w:val="00FC55D3"/>
    <w:rsid w:val="BF7DC2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US" w:eastAsia="en-US" w:bidi="ar-SA"/>
      <w14:ligatures w14:val="standardContextual"/>
    </w:rPr>
  </w:style>
  <w:style w:type="paragraph" w:styleId="2">
    <w:name w:val="heading 2"/>
    <w:basedOn w:val="1"/>
    <w:next w:val="1"/>
    <w:link w:val="33"/>
    <w:semiHidden/>
    <w:unhideWhenUsed/>
    <w:qFormat/>
    <w:uiPriority w:val="9"/>
    <w:pPr>
      <w:keepNext/>
      <w:keepLines/>
      <w:spacing w:before="40" w:after="0"/>
      <w:outlineLvl w:val="1"/>
    </w:pPr>
    <w:rPr>
      <w:rFonts w:asciiTheme="majorHAnsi" w:hAnsiTheme="majorHAnsi" w:eastAsiaTheme="majorEastAsia" w:cstheme="majorBidi"/>
      <w:color w:val="2F5597" w:themeColor="accent1" w:themeShade="BF"/>
      <w:sz w:val="26"/>
      <w:szCs w:val="26"/>
    </w:rPr>
  </w:style>
  <w:style w:type="paragraph" w:styleId="3">
    <w:name w:val="heading 3"/>
    <w:basedOn w:val="1"/>
    <w:link w:val="31"/>
    <w:qFormat/>
    <w:uiPriority w:val="9"/>
    <w:pPr>
      <w:spacing w:before="100" w:beforeAutospacing="1" w:after="100" w:afterAutospacing="1" w:line="240" w:lineRule="auto"/>
      <w:outlineLvl w:val="2"/>
    </w:pPr>
    <w:rPr>
      <w:rFonts w:ascii="Times New Roman" w:hAnsi="Times New Roman" w:eastAsia="Times New Roman" w:cs="Times New Roman"/>
      <w:b/>
      <w:bCs/>
      <w:kern w:val="0"/>
      <w:sz w:val="27"/>
      <w:szCs w:val="27"/>
      <w:lang w:val="de-DE" w:eastAsia="de-DE"/>
      <w14:ligatures w14:val="none"/>
    </w:rPr>
  </w:style>
  <w:style w:type="paragraph" w:styleId="4">
    <w:name w:val="heading 4"/>
    <w:basedOn w:val="1"/>
    <w:link w:val="32"/>
    <w:qFormat/>
    <w:uiPriority w:val="9"/>
    <w:pPr>
      <w:spacing w:before="100" w:beforeAutospacing="1" w:after="100" w:afterAutospacing="1" w:line="240" w:lineRule="auto"/>
      <w:outlineLvl w:val="3"/>
    </w:pPr>
    <w:rPr>
      <w:rFonts w:ascii="Times New Roman" w:hAnsi="Times New Roman" w:eastAsia="Times New Roman" w:cs="Times New Roman"/>
      <w:b/>
      <w:bCs/>
      <w:kern w:val="0"/>
      <w:sz w:val="24"/>
      <w:szCs w:val="24"/>
      <w:lang w:val="de-DE" w:eastAsia="de-DE"/>
      <w14:ligatures w14:val="none"/>
    </w:rPr>
  </w:style>
  <w:style w:type="character" w:default="1" w:styleId="5">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character" w:styleId="7">
    <w:name w:val="Emphasis"/>
    <w:basedOn w:val="5"/>
    <w:qFormat/>
    <w:uiPriority w:val="20"/>
    <w:rPr>
      <w:i/>
      <w:iCs/>
    </w:rPr>
  </w:style>
  <w:style w:type="character" w:styleId="8">
    <w:name w:val="endnote reference"/>
    <w:basedOn w:val="5"/>
    <w:semiHidden/>
    <w:unhideWhenUsed/>
    <w:uiPriority w:val="99"/>
    <w:rPr>
      <w:vertAlign w:val="superscript"/>
    </w:rPr>
  </w:style>
  <w:style w:type="paragraph" w:styleId="9">
    <w:name w:val="endnote text"/>
    <w:basedOn w:val="1"/>
    <w:link w:val="35"/>
    <w:semiHidden/>
    <w:unhideWhenUsed/>
    <w:uiPriority w:val="99"/>
    <w:pPr>
      <w:spacing w:after="0" w:line="240" w:lineRule="auto"/>
    </w:pPr>
    <w:rPr>
      <w:sz w:val="20"/>
      <w:szCs w:val="20"/>
    </w:rPr>
  </w:style>
  <w:style w:type="paragraph" w:styleId="10">
    <w:name w:val="footer"/>
    <w:basedOn w:val="1"/>
    <w:link w:val="20"/>
    <w:unhideWhenUsed/>
    <w:uiPriority w:val="99"/>
    <w:pPr>
      <w:tabs>
        <w:tab w:val="center" w:pos="4680"/>
        <w:tab w:val="right" w:pos="9360"/>
      </w:tabs>
      <w:spacing w:after="0" w:line="240" w:lineRule="auto"/>
    </w:pPr>
  </w:style>
  <w:style w:type="character" w:styleId="11">
    <w:name w:val="footnote reference"/>
    <w:basedOn w:val="5"/>
    <w:unhideWhenUsed/>
    <w:uiPriority w:val="99"/>
    <w:rPr>
      <w:vertAlign w:val="superscript"/>
    </w:rPr>
  </w:style>
  <w:style w:type="paragraph" w:styleId="12">
    <w:name w:val="footnote text"/>
    <w:basedOn w:val="1"/>
    <w:link w:val="34"/>
    <w:semiHidden/>
    <w:unhideWhenUsed/>
    <w:uiPriority w:val="99"/>
    <w:pPr>
      <w:spacing w:after="0" w:line="240" w:lineRule="auto"/>
    </w:pPr>
    <w:rPr>
      <w:sz w:val="20"/>
      <w:szCs w:val="20"/>
    </w:rPr>
  </w:style>
  <w:style w:type="paragraph" w:styleId="13">
    <w:name w:val="header"/>
    <w:basedOn w:val="1"/>
    <w:link w:val="19"/>
    <w:unhideWhenUsed/>
    <w:uiPriority w:val="99"/>
    <w:pPr>
      <w:tabs>
        <w:tab w:val="center" w:pos="4680"/>
        <w:tab w:val="right" w:pos="9360"/>
      </w:tabs>
      <w:spacing w:after="0" w:line="240" w:lineRule="auto"/>
    </w:pPr>
  </w:style>
  <w:style w:type="paragraph" w:styleId="14">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kern w:val="0"/>
      <w:sz w:val="24"/>
      <w:szCs w:val="24"/>
      <w:lang w:val="de-DE" w:eastAsia="de-DE"/>
      <w14:ligatures w14:val="none"/>
    </w:rPr>
  </w:style>
  <w:style w:type="paragraph" w:styleId="15">
    <w:name w:val="Plain Text"/>
    <w:basedOn w:val="1"/>
    <w:link w:val="36"/>
    <w:semiHidden/>
    <w:unhideWhenUsed/>
    <w:uiPriority w:val="99"/>
    <w:pPr>
      <w:spacing w:after="0" w:line="240" w:lineRule="auto"/>
    </w:pPr>
    <w:rPr>
      <w:rFonts w:ascii="Calibri" w:hAnsi="Calibri"/>
      <w:kern w:val="0"/>
      <w:szCs w:val="21"/>
      <w:lang w:val="sq-AL"/>
      <w14:ligatures w14:val="none"/>
    </w:rPr>
  </w:style>
  <w:style w:type="character" w:styleId="16">
    <w:name w:val="Strong"/>
    <w:basedOn w:val="5"/>
    <w:qFormat/>
    <w:uiPriority w:val="22"/>
    <w:rPr>
      <w:b/>
      <w:bCs/>
    </w:rPr>
  </w:style>
  <w:style w:type="table" w:styleId="17">
    <w:name w:val="Table Grid"/>
    <w:basedOn w:val="6"/>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laceholder Text"/>
    <w:basedOn w:val="5"/>
    <w:semiHidden/>
    <w:uiPriority w:val="99"/>
    <w:rPr>
      <w:color w:val="808080"/>
    </w:rPr>
  </w:style>
  <w:style w:type="character" w:customStyle="1" w:styleId="19">
    <w:name w:val="Header Char"/>
    <w:basedOn w:val="5"/>
    <w:link w:val="13"/>
    <w:uiPriority w:val="99"/>
  </w:style>
  <w:style w:type="character" w:customStyle="1" w:styleId="20">
    <w:name w:val="Footer Char"/>
    <w:basedOn w:val="5"/>
    <w:link w:val="10"/>
    <w:uiPriority w:val="99"/>
  </w:style>
  <w:style w:type="paragraph" w:styleId="21">
    <w:name w:val="List Paragraph"/>
    <w:basedOn w:val="1"/>
    <w:qFormat/>
    <w:uiPriority w:val="34"/>
    <w:pPr>
      <w:ind w:left="720"/>
      <w:contextualSpacing/>
    </w:pPr>
  </w:style>
  <w:style w:type="paragraph" w:customStyle="1" w:styleId="22">
    <w:name w:val="msonormal"/>
    <w:basedOn w:val="1"/>
    <w:uiPriority w:val="0"/>
    <w:pPr>
      <w:spacing w:before="100" w:beforeAutospacing="1" w:after="100" w:afterAutospacing="1" w:line="240" w:lineRule="auto"/>
    </w:pPr>
    <w:rPr>
      <w:rFonts w:ascii="Times New Roman" w:hAnsi="Times New Roman" w:eastAsia="Times New Roman" w:cs="Times New Roman"/>
      <w:kern w:val="0"/>
      <w:sz w:val="24"/>
      <w:szCs w:val="24"/>
      <w:lang w:val="de-DE" w:eastAsia="de-DE"/>
      <w14:ligatures w14:val="none"/>
    </w:rPr>
  </w:style>
  <w:style w:type="paragraph" w:customStyle="1" w:styleId="23">
    <w:name w:val="paragraph"/>
    <w:basedOn w:val="1"/>
    <w:uiPriority w:val="0"/>
    <w:pPr>
      <w:spacing w:before="100" w:beforeAutospacing="1" w:after="100" w:afterAutospacing="1" w:line="240" w:lineRule="auto"/>
    </w:pPr>
    <w:rPr>
      <w:rFonts w:ascii="Times New Roman" w:hAnsi="Times New Roman" w:eastAsia="Times New Roman" w:cs="Times New Roman"/>
      <w:kern w:val="0"/>
      <w:sz w:val="24"/>
      <w:szCs w:val="24"/>
      <w:lang w:val="de-DE" w:eastAsia="de-DE"/>
      <w14:ligatures w14:val="none"/>
    </w:rPr>
  </w:style>
  <w:style w:type="character" w:customStyle="1" w:styleId="24">
    <w:name w:val="textrun"/>
    <w:basedOn w:val="5"/>
    <w:uiPriority w:val="0"/>
  </w:style>
  <w:style w:type="character" w:customStyle="1" w:styleId="25">
    <w:name w:val="normaltextrun"/>
    <w:basedOn w:val="5"/>
    <w:uiPriority w:val="0"/>
  </w:style>
  <w:style w:type="character" w:customStyle="1" w:styleId="26">
    <w:name w:val="eop"/>
    <w:basedOn w:val="5"/>
    <w:uiPriority w:val="0"/>
  </w:style>
  <w:style w:type="character" w:customStyle="1" w:styleId="27">
    <w:name w:val="linebreakblob"/>
    <w:basedOn w:val="5"/>
    <w:uiPriority w:val="0"/>
  </w:style>
  <w:style w:type="character" w:customStyle="1" w:styleId="28">
    <w:name w:val="scxw132352886"/>
    <w:basedOn w:val="5"/>
    <w:uiPriority w:val="0"/>
  </w:style>
  <w:style w:type="character" w:customStyle="1" w:styleId="29">
    <w:name w:val="wacimagecontainer"/>
    <w:basedOn w:val="5"/>
    <w:uiPriority w:val="0"/>
  </w:style>
  <w:style w:type="paragraph" w:customStyle="1" w:styleId="30">
    <w:name w:val="outlineelement"/>
    <w:basedOn w:val="1"/>
    <w:uiPriority w:val="0"/>
    <w:pPr>
      <w:spacing w:before="100" w:beforeAutospacing="1" w:after="100" w:afterAutospacing="1" w:line="240" w:lineRule="auto"/>
    </w:pPr>
    <w:rPr>
      <w:rFonts w:ascii="Times New Roman" w:hAnsi="Times New Roman" w:eastAsia="Times New Roman" w:cs="Times New Roman"/>
      <w:kern w:val="0"/>
      <w:sz w:val="24"/>
      <w:szCs w:val="24"/>
      <w:lang w:val="de-DE" w:eastAsia="de-DE"/>
      <w14:ligatures w14:val="none"/>
    </w:rPr>
  </w:style>
  <w:style w:type="character" w:customStyle="1" w:styleId="31">
    <w:name w:val="Heading 3 Char"/>
    <w:basedOn w:val="5"/>
    <w:link w:val="3"/>
    <w:uiPriority w:val="9"/>
    <w:rPr>
      <w:rFonts w:ascii="Times New Roman" w:hAnsi="Times New Roman" w:eastAsia="Times New Roman" w:cs="Times New Roman"/>
      <w:b/>
      <w:bCs/>
      <w:kern w:val="0"/>
      <w:sz w:val="27"/>
      <w:szCs w:val="27"/>
      <w:lang w:val="de-DE" w:eastAsia="de-DE"/>
      <w14:ligatures w14:val="none"/>
    </w:rPr>
  </w:style>
  <w:style w:type="character" w:customStyle="1" w:styleId="32">
    <w:name w:val="Heading 4 Char"/>
    <w:basedOn w:val="5"/>
    <w:link w:val="4"/>
    <w:uiPriority w:val="9"/>
    <w:rPr>
      <w:rFonts w:ascii="Times New Roman" w:hAnsi="Times New Roman" w:eastAsia="Times New Roman" w:cs="Times New Roman"/>
      <w:b/>
      <w:bCs/>
      <w:kern w:val="0"/>
      <w:sz w:val="24"/>
      <w:szCs w:val="24"/>
      <w:lang w:val="de-DE" w:eastAsia="de-DE"/>
      <w14:ligatures w14:val="none"/>
    </w:rPr>
  </w:style>
  <w:style w:type="character" w:customStyle="1" w:styleId="33">
    <w:name w:val="Heading 2 Char"/>
    <w:basedOn w:val="5"/>
    <w:link w:val="2"/>
    <w:semiHidden/>
    <w:uiPriority w:val="9"/>
    <w:rPr>
      <w:rFonts w:asciiTheme="majorHAnsi" w:hAnsiTheme="majorHAnsi" w:eastAsiaTheme="majorEastAsia" w:cstheme="majorBidi"/>
      <w:color w:val="2F5597" w:themeColor="accent1" w:themeShade="BF"/>
      <w:sz w:val="26"/>
      <w:szCs w:val="26"/>
    </w:rPr>
  </w:style>
  <w:style w:type="character" w:customStyle="1" w:styleId="34">
    <w:name w:val="Footnote Text Char"/>
    <w:basedOn w:val="5"/>
    <w:link w:val="12"/>
    <w:semiHidden/>
    <w:uiPriority w:val="99"/>
    <w:rPr>
      <w:sz w:val="20"/>
      <w:szCs w:val="20"/>
    </w:rPr>
  </w:style>
  <w:style w:type="character" w:customStyle="1" w:styleId="35">
    <w:name w:val="Endnote Text Char"/>
    <w:basedOn w:val="5"/>
    <w:link w:val="9"/>
    <w:semiHidden/>
    <w:uiPriority w:val="99"/>
    <w:rPr>
      <w:sz w:val="20"/>
      <w:szCs w:val="20"/>
    </w:rPr>
  </w:style>
  <w:style w:type="character" w:customStyle="1" w:styleId="36">
    <w:name w:val="Plain Text Char"/>
    <w:basedOn w:val="5"/>
    <w:link w:val="15"/>
    <w:semiHidden/>
    <w:uiPriority w:val="99"/>
    <w:rPr>
      <w:rFonts w:ascii="Calibri" w:hAnsi="Calibri"/>
      <w:kern w:val="0"/>
      <w:szCs w:val="21"/>
      <w:lang w:val="sq-AL"/>
      <w14:ligatures w14: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SelectedStyle="\APASixthEditionOfficeOnline.xsl" Version="6">
  <b:Source>
    <b:Tag>Gaz19</b:Tag>
    <b:SourceType>Book</b:SourceType>
    <b:Guid>{683D8E27-FFEF-4933-9DB2-260B95B18312}</b:Guid>
    <b:Author>
      <b:Author>
        <b:NameList>
          <b:Person>
            <b:Last>Kosovës</b:Last>
            <b:First>Gazeta</b:First>
            <b:Middle>Zyrtare e Republikës së</b:Middle>
          </b:Person>
        </b:NameList>
      </b:Author>
    </b:Author>
    <b:Title>Kodi Penal i Republikës së Kosovës, Nr. 06/L-074, neni 248</b:Title>
    <b:Year>2019</b:Year>
    <b:RefOrder>1</b:RefOrder>
  </b:Source>
</b:Sources>
</file>

<file path=customXml/itemProps1.xml><?xml version="1.0" encoding="utf-8"?>
<ds:datastoreItem xmlns:ds="http://schemas.openxmlformats.org/officeDocument/2006/customXml" ds:itemID="{8676A3A7-38DC-44B9-81C9-1D0061A3DE7B}">
  <ds:schemaRefs/>
</ds:datastoreItem>
</file>

<file path=docProps/app.xml><?xml version="1.0" encoding="utf-8"?>
<Properties xmlns="http://schemas.openxmlformats.org/officeDocument/2006/extended-properties" xmlns:vt="http://schemas.openxmlformats.org/officeDocument/2006/docPropsVTypes">
  <Template>Normal</Template>
  <Pages>17</Pages>
  <Words>3047</Words>
  <Characters>17797</Characters>
  <Lines>523</Lines>
  <Paragraphs>245</Paragraphs>
  <TotalTime>68</TotalTime>
  <ScaleCrop>false</ScaleCrop>
  <LinksUpToDate>false</LinksUpToDate>
  <CharactersWithSpaces>20599</CharactersWithSpaces>
  <Application>WPS Office_12.1.23152.23152_F1E327BC-269C-435d-A152-05C5408002CA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2023-12-09T17:00:00Z</dcterms:created>
  <dc:creator>besmirbajrami96@gmail.com</dc:creator>
  <cp:lastModifiedBy>mensutademi</cp:lastModifiedBy>
  <dcterms:modified xsi:type="dcterms:W3CDTF">2026-01-11T11:36:05Z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1033-12.1.23152.23152</vt:lpwstr>
  </property>
  <property fmtid="{D5CDD505-2E9C-101B-9397-08002B2CF9AE}" pid="3" name="ICV">
    <vt:lpwstr>C77EF24C93717A3D157D6369E74B6066_42</vt:lpwstr>
  </property>
</Properties>
</file>